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eastAsia="宋体" w:cs="Arial"/>
          <w:b/>
        </w:rPr>
      </w:pPr>
      <w:r>
        <w:rPr>
          <w:rFonts w:eastAsia="宋体" w:cs="Arial"/>
          <w:b/>
        </w:rPr>
        <w:t>3GPP T</w:t>
      </w:r>
      <w:bookmarkStart w:id="0" w:name="_Ref452454252"/>
      <w:bookmarkEnd w:id="0"/>
      <w:r>
        <w:rPr>
          <w:rFonts w:eastAsia="宋体" w:cs="Arial"/>
          <w:b/>
        </w:rPr>
        <w:t>SG-RAN WG2</w:t>
      </w:r>
      <w:r>
        <w:rPr>
          <w:rFonts w:hint="eastAsia" w:eastAsia="宋体" w:cs="Arial"/>
          <w:b/>
          <w:lang w:eastAsia="zh-CN"/>
        </w:rPr>
        <w:t xml:space="preserve"> </w:t>
      </w:r>
      <w:r>
        <w:rPr>
          <w:rFonts w:eastAsia="宋体" w:cs="Arial"/>
          <w:b/>
          <w:lang w:eastAsia="zh-CN"/>
        </w:rPr>
        <w:t>#11</w:t>
      </w:r>
      <w:r>
        <w:rPr>
          <w:rFonts w:hint="default" w:eastAsia="宋体" w:cs="Arial"/>
          <w:b/>
          <w:lang w:val="en-US" w:eastAsia="zh-CN"/>
        </w:rPr>
        <w:t>7</w:t>
      </w:r>
      <w:r>
        <w:rPr>
          <w:rFonts w:hint="eastAsia" w:eastAsia="宋体" w:cs="Arial"/>
          <w:b/>
          <w:lang w:val="en-US" w:eastAsia="zh-CN"/>
        </w:rPr>
        <w:t>e</w:t>
      </w:r>
      <w:r>
        <w:rPr>
          <w:rFonts w:eastAsia="宋体" w:cs="Arial"/>
          <w:b/>
          <w:lang w:eastAsia="zh-CN"/>
        </w:rPr>
        <w:t xml:space="preserve">                                 </w:t>
      </w:r>
      <w:r>
        <w:rPr>
          <w:rFonts w:hint="eastAsia" w:eastAsia="宋体" w:cs="Arial"/>
          <w:b/>
          <w:lang w:val="en-US" w:eastAsia="zh-CN"/>
        </w:rPr>
        <w:t xml:space="preserve">                     </w:t>
      </w:r>
      <w:r>
        <w:rPr>
          <w:rFonts w:eastAsia="宋体" w:cs="Arial"/>
          <w:b/>
          <w:lang w:eastAsia="zh-CN"/>
        </w:rPr>
        <w:t>R2-</w:t>
      </w:r>
      <w:r>
        <w:rPr>
          <w:rFonts w:hint="eastAsia" w:eastAsia="宋体" w:cs="Arial"/>
          <w:b/>
          <w:lang w:eastAsia="zh-CN"/>
        </w:rPr>
        <w:t>R2-2202614</w:t>
      </w:r>
      <w:bookmarkStart w:id="3" w:name="_GoBack"/>
      <w:bookmarkEnd w:id="3"/>
      <w:r>
        <w:rPr>
          <w:rFonts w:eastAsia="宋体" w:cs="Arial"/>
          <w:b/>
        </w:rPr>
        <w:tab/>
      </w:r>
    </w:p>
    <w:p>
      <w:pPr>
        <w:pStyle w:val="54"/>
        <w:rPr>
          <w:rFonts w:cs="Arial"/>
          <w:sz w:val="20"/>
          <w:lang w:val="en-GB"/>
        </w:rPr>
      </w:pPr>
      <w:r>
        <w:rPr>
          <w:rFonts w:eastAsia="Arial Unicode MS" w:cs="Arial"/>
          <w:sz w:val="20"/>
          <w:szCs w:val="20"/>
        </w:rPr>
        <w:t xml:space="preserve">Online: </w:t>
      </w:r>
      <w:r>
        <w:rPr>
          <w:rFonts w:hint="eastAsia" w:eastAsia="Arial Unicode MS" w:cs="Arial"/>
          <w:sz w:val="20"/>
          <w:szCs w:val="20"/>
        </w:rPr>
        <w:t>February 21 – March 3, 2022</w:t>
      </w:r>
    </w:p>
    <w:p>
      <w:pPr>
        <w:pStyle w:val="54"/>
        <w:rPr>
          <w:rFonts w:hint="default" w:cs="Arial"/>
          <w:sz w:val="20"/>
          <w:lang w:val="en-US"/>
        </w:rPr>
      </w:pPr>
      <w:r>
        <w:rPr>
          <w:rFonts w:cs="Arial"/>
          <w:sz w:val="20"/>
        </w:rPr>
        <w:t>Agenda Item:</w:t>
      </w:r>
      <w:r>
        <w:rPr>
          <w:rFonts w:cs="Arial"/>
          <w:sz w:val="20"/>
        </w:rPr>
        <w:tab/>
      </w:r>
      <w:r>
        <w:rPr>
          <w:rFonts w:eastAsia="宋体" w:cs="Arial"/>
          <w:sz w:val="20"/>
        </w:rPr>
        <w:t>8.10.3.</w:t>
      </w:r>
      <w:r>
        <w:rPr>
          <w:rFonts w:hint="default" w:eastAsia="宋体" w:cs="Arial"/>
          <w:sz w:val="20"/>
          <w:lang w:val="en-US"/>
        </w:rPr>
        <w:t>2.2</w:t>
      </w:r>
    </w:p>
    <w:p>
      <w:pPr>
        <w:pStyle w:val="54"/>
        <w:rPr>
          <w:rFonts w:cs="Arial"/>
          <w:sz w:val="20"/>
        </w:rPr>
      </w:pPr>
      <w:r>
        <w:rPr>
          <w:rFonts w:cs="Arial"/>
          <w:sz w:val="20"/>
        </w:rPr>
        <w:t>Source:</w:t>
      </w:r>
      <w:r>
        <w:rPr>
          <w:rFonts w:cs="Arial"/>
          <w:sz w:val="20"/>
        </w:rPr>
        <w:tab/>
      </w:r>
      <w:r>
        <w:rPr>
          <w:rFonts w:eastAsia="宋体" w:cs="Arial"/>
          <w:sz w:val="20"/>
        </w:rPr>
        <w:t>CMCC</w:t>
      </w:r>
    </w:p>
    <w:p>
      <w:pPr>
        <w:pStyle w:val="54"/>
        <w:rPr>
          <w:rFonts w:cs="Arial"/>
          <w:sz w:val="20"/>
        </w:rPr>
      </w:pPr>
      <w:r>
        <w:rPr>
          <w:rFonts w:cs="Arial"/>
          <w:sz w:val="20"/>
        </w:rPr>
        <w:t>Title:</w:t>
      </w:r>
      <w:r>
        <w:rPr>
          <w:rFonts w:cs="Arial"/>
          <w:sz w:val="20"/>
        </w:rPr>
        <w:tab/>
      </w:r>
      <w:r>
        <w:rPr>
          <w:rFonts w:hint="eastAsia" w:cs="Arial" w:eastAsiaTheme="minorEastAsia"/>
          <w:sz w:val="20"/>
        </w:rPr>
        <w:t>Further discussion on</w:t>
      </w:r>
      <w:r>
        <w:rPr>
          <w:rFonts w:cs="Arial"/>
          <w:sz w:val="20"/>
        </w:rPr>
        <w:t xml:space="preserve"> intra</w:t>
      </w:r>
      <w:r>
        <w:rPr>
          <w:rFonts w:hint="eastAsia" w:cs="Arial" w:eastAsiaTheme="minorEastAsia"/>
          <w:sz w:val="20"/>
        </w:rPr>
        <w:t>-NTN</w:t>
      </w:r>
      <w:r>
        <w:rPr>
          <w:rFonts w:cs="Arial"/>
          <w:sz w:val="20"/>
        </w:rPr>
        <w:t xml:space="preserve"> mobility</w:t>
      </w:r>
    </w:p>
    <w:p>
      <w:pPr>
        <w:pStyle w:val="54"/>
        <w:rPr>
          <w:rFonts w:cs="Arial"/>
          <w:sz w:val="20"/>
        </w:rPr>
      </w:pPr>
      <w:r>
        <w:rPr>
          <w:rFonts w:cs="Arial"/>
          <w:sz w:val="20"/>
        </w:rPr>
        <w:t>Document for:</w:t>
      </w:r>
      <w:r>
        <w:rPr>
          <w:rFonts w:cs="Arial"/>
          <w:sz w:val="20"/>
        </w:rPr>
        <w:tab/>
      </w:r>
      <w:r>
        <w:rPr>
          <w:rFonts w:cs="Arial"/>
          <w:sz w:val="20"/>
        </w:rPr>
        <w:t>Discussion, Decision</w:t>
      </w:r>
    </w:p>
    <w:p>
      <w:pPr>
        <w:pStyle w:val="2"/>
        <w:rPr>
          <w:rFonts w:cs="Arial"/>
          <w:sz w:val="20"/>
          <w:szCs w:val="20"/>
        </w:rPr>
      </w:pPr>
      <w:r>
        <w:rPr>
          <w:rFonts w:cs="Arial"/>
          <w:sz w:val="20"/>
          <w:szCs w:val="20"/>
        </w:rPr>
        <w:t>Introduction</w:t>
      </w:r>
    </w:p>
    <w:p>
      <w:pPr>
        <w:suppressAutoHyphens/>
        <w:adjustRightInd/>
        <w:spacing w:before="120"/>
        <w:rPr>
          <w:rFonts w:eastAsiaTheme="minorEastAsia"/>
        </w:rPr>
      </w:pPr>
      <w:r>
        <w:rPr>
          <w:rFonts w:eastAsia="PMingLiU" w:cs="Arial"/>
          <w:lang w:val="en-GB" w:eastAsia="zh-TW"/>
        </w:rPr>
        <w:t>In the RAN2</w:t>
      </w:r>
      <w:r>
        <w:rPr>
          <w:rFonts w:hint="default" w:eastAsia="PMingLiU" w:cs="Arial"/>
          <w:lang w:val="en-US" w:eastAsia="zh-TW"/>
        </w:rPr>
        <w:t xml:space="preserve"> 116e</w:t>
      </w:r>
      <w:r>
        <w:rPr>
          <w:rFonts w:eastAsia="PMingLiU" w:cs="Arial"/>
          <w:lang w:val="en-GB" w:eastAsia="zh-TW"/>
        </w:rPr>
        <w:t xml:space="preserve"> meeting, there were some discussions including online and offline about CHO </w:t>
      </w:r>
      <w:r>
        <w:rPr>
          <w:rFonts w:hint="eastAsia" w:cs="Arial" w:eastAsiaTheme="minorEastAsia"/>
          <w:lang w:val="en-GB"/>
        </w:rPr>
        <w:t>and NTN-TN mobility aspects</w:t>
      </w:r>
      <w:r>
        <w:rPr>
          <w:rFonts w:eastAsia="PMingLiU" w:cs="Arial"/>
          <w:lang w:val="en-GB" w:eastAsia="zh-TW"/>
        </w:rPr>
        <w:t xml:space="preserve">, and some </w:t>
      </w:r>
      <w:r>
        <w:rPr>
          <w:rFonts w:hint="eastAsia" w:cs="Arial" w:eastAsiaTheme="minorEastAsia"/>
          <w:lang w:val="en-GB"/>
        </w:rPr>
        <w:t xml:space="preserve">fruitful </w:t>
      </w:r>
      <w:r>
        <w:rPr>
          <w:rFonts w:eastAsia="PMingLiU" w:cs="Arial"/>
          <w:lang w:val="en-GB" w:eastAsia="zh-TW"/>
        </w:rPr>
        <w:t>agreements were achieved as following [1]:</w:t>
      </w:r>
    </w:p>
    <w:p>
      <w:pPr>
        <w:pStyle w:val="85"/>
        <w:pBdr>
          <w:top w:val="single" w:color="auto" w:sz="4" w:space="1"/>
          <w:left w:val="single" w:color="auto" w:sz="4" w:space="4"/>
          <w:bottom w:val="single" w:color="auto" w:sz="4" w:space="1"/>
          <w:right w:val="single" w:color="auto" w:sz="4" w:space="4"/>
        </w:pBdr>
        <w:rPr>
          <w:szCs w:val="20"/>
        </w:rPr>
      </w:pPr>
      <w:r>
        <w:rPr>
          <w:szCs w:val="20"/>
        </w:rPr>
        <w:t>Working Assumptions:</w:t>
      </w:r>
    </w:p>
    <w:p>
      <w:pPr>
        <w:pStyle w:val="85"/>
        <w:numPr>
          <w:ilvl w:val="0"/>
          <w:numId w:val="11"/>
        </w:numPr>
        <w:pBdr>
          <w:top w:val="single" w:color="auto" w:sz="4" w:space="1"/>
          <w:left w:val="single" w:color="auto" w:sz="4" w:space="4"/>
          <w:bottom w:val="single" w:color="auto" w:sz="4" w:space="1"/>
          <w:right w:val="single" w:color="auto" w:sz="4" w:space="4"/>
        </w:pBdr>
        <w:overflowPunct/>
        <w:autoSpaceDE/>
        <w:autoSpaceDN/>
        <w:rPr>
          <w:szCs w:val="20"/>
        </w:rPr>
      </w:pPr>
      <w:r>
        <w:rPr>
          <w:szCs w:val="20"/>
        </w:rPr>
        <w:t>Combination of serving and target cell reference location is supported for location report trigger event and for CHO location trigger</w:t>
      </w:r>
    </w:p>
    <w:p>
      <w:pPr>
        <w:pStyle w:val="85"/>
        <w:numPr>
          <w:ilvl w:val="0"/>
          <w:numId w:val="11"/>
        </w:numPr>
        <w:pBdr>
          <w:top w:val="single" w:color="auto" w:sz="4" w:space="1"/>
          <w:left w:val="single" w:color="auto" w:sz="4" w:space="4"/>
          <w:bottom w:val="single" w:color="auto" w:sz="4" w:space="1"/>
          <w:right w:val="single" w:color="auto" w:sz="4" w:space="4"/>
        </w:pBdr>
        <w:overflowPunct/>
        <w:autoSpaceDE/>
        <w:autoSpaceDN/>
        <w:rPr>
          <w:szCs w:val="20"/>
        </w:rPr>
      </w:pPr>
      <w:r>
        <w:rPr>
          <w:szCs w:val="20"/>
        </w:rPr>
        <w:t>Specify that measurement reports can be configured to be piggybacked with location report when location based event triggers it</w:t>
      </w:r>
    </w:p>
    <w:p>
      <w:pPr>
        <w:pStyle w:val="85"/>
        <w:pBdr>
          <w:top w:val="single" w:color="auto" w:sz="4" w:space="1"/>
          <w:left w:val="single" w:color="auto" w:sz="4" w:space="4"/>
          <w:bottom w:val="single" w:color="auto" w:sz="4" w:space="1"/>
          <w:right w:val="single" w:color="auto" w:sz="4" w:space="4"/>
        </w:pBdr>
        <w:ind w:left="1259" w:firstLine="0"/>
        <w:rPr>
          <w:szCs w:val="20"/>
        </w:rPr>
      </w:pPr>
      <w:r>
        <w:rPr>
          <w:szCs w:val="20"/>
        </w:rPr>
        <w:t>Agreements via email - from offline 103:</w:t>
      </w:r>
    </w:p>
    <w:p>
      <w:pPr>
        <w:pStyle w:val="85"/>
        <w:numPr>
          <w:ilvl w:val="0"/>
          <w:numId w:val="12"/>
        </w:numPr>
        <w:pBdr>
          <w:top w:val="single" w:color="auto" w:sz="4" w:space="1"/>
          <w:left w:val="single" w:color="auto" w:sz="4" w:space="4"/>
          <w:bottom w:val="single" w:color="auto" w:sz="4" w:space="1"/>
          <w:right w:val="single" w:color="auto" w:sz="4" w:space="4"/>
        </w:pBdr>
        <w:overflowPunct/>
        <w:autoSpaceDE/>
        <w:autoSpaceDN/>
        <w:rPr>
          <w:szCs w:val="20"/>
        </w:rPr>
      </w:pPr>
      <w:r>
        <w:rPr>
          <w:szCs w:val="20"/>
        </w:rPr>
        <w:t>The following event is supported: condEvent L4: Distance between UE and the PCell’s reference location becomes larger than absolute threshold1 AND the distance between UE and the Conditional reconfiguration candidate becomes shorter than absolute threshold2.</w:t>
      </w:r>
    </w:p>
    <w:p>
      <w:pPr>
        <w:pStyle w:val="85"/>
        <w:pBdr>
          <w:top w:val="single" w:color="auto" w:sz="4" w:space="1"/>
          <w:left w:val="single" w:color="auto" w:sz="4" w:space="4"/>
          <w:bottom w:val="single" w:color="auto" w:sz="4" w:space="1"/>
          <w:right w:val="single" w:color="auto" w:sz="4" w:space="4"/>
        </w:pBdr>
        <w:rPr>
          <w:szCs w:val="20"/>
        </w:rPr>
      </w:pPr>
      <w:r>
        <w:rPr>
          <w:szCs w:val="20"/>
        </w:rPr>
        <w:tab/>
      </w:r>
      <w:r>
        <w:rPr>
          <w:szCs w:val="20"/>
        </w:rPr>
        <w:t>FFS other options</w:t>
      </w:r>
    </w:p>
    <w:p>
      <w:pPr>
        <w:pStyle w:val="85"/>
        <w:numPr>
          <w:ilvl w:val="0"/>
          <w:numId w:val="12"/>
        </w:numPr>
        <w:pBdr>
          <w:top w:val="single" w:color="auto" w:sz="4" w:space="1"/>
          <w:left w:val="single" w:color="auto" w:sz="4" w:space="4"/>
          <w:bottom w:val="single" w:color="auto" w:sz="4" w:space="1"/>
          <w:right w:val="single" w:color="auto" w:sz="4" w:space="4"/>
        </w:pBdr>
        <w:overflowPunct/>
        <w:autoSpaceDE/>
        <w:autoSpaceDN/>
        <w:rPr>
          <w:szCs w:val="20"/>
        </w:rPr>
      </w:pPr>
      <w:r>
        <w:rPr>
          <w:szCs w:val="20"/>
        </w:rPr>
        <w:t>Specify hysteresis and time to trigger for the location event for RRM and CHO</w:t>
      </w:r>
    </w:p>
    <w:p>
      <w:pPr>
        <w:pStyle w:val="85"/>
        <w:numPr>
          <w:ilvl w:val="0"/>
          <w:numId w:val="12"/>
        </w:numPr>
        <w:pBdr>
          <w:top w:val="single" w:color="auto" w:sz="4" w:space="1"/>
          <w:left w:val="single" w:color="auto" w:sz="4" w:space="4"/>
          <w:bottom w:val="single" w:color="auto" w:sz="4" w:space="1"/>
          <w:right w:val="single" w:color="auto" w:sz="4" w:space="4"/>
        </w:pBdr>
        <w:overflowPunct/>
        <w:autoSpaceDE/>
        <w:autoSpaceDN/>
        <w:rPr>
          <w:szCs w:val="20"/>
        </w:rPr>
      </w:pPr>
      <w:r>
        <w:rPr>
          <w:szCs w:val="20"/>
        </w:rPr>
        <w:t>Timing information from RRCReconfiguration message in RRC running CR is removed</w:t>
      </w:r>
    </w:p>
    <w:p>
      <w:pPr>
        <w:pStyle w:val="85"/>
        <w:numPr>
          <w:ilvl w:val="0"/>
          <w:numId w:val="12"/>
        </w:numPr>
        <w:pBdr>
          <w:top w:val="single" w:color="auto" w:sz="4" w:space="1"/>
          <w:left w:val="single" w:color="auto" w:sz="4" w:space="4"/>
          <w:bottom w:val="single" w:color="auto" w:sz="4" w:space="1"/>
          <w:right w:val="single" w:color="auto" w:sz="4" w:space="4"/>
        </w:pBdr>
        <w:overflowPunct/>
        <w:autoSpaceDE/>
        <w:autoSpaceDN/>
        <w:rPr>
          <w:szCs w:val="20"/>
        </w:rPr>
      </w:pPr>
      <w:r>
        <w:rPr>
          <w:szCs w:val="20"/>
        </w:rPr>
        <w:t>UE is allowed to perform HO only during T1 to T2</w:t>
      </w:r>
    </w:p>
    <w:p>
      <w:pPr>
        <w:pStyle w:val="85"/>
        <w:numPr>
          <w:ilvl w:val="0"/>
          <w:numId w:val="12"/>
        </w:numPr>
        <w:pBdr>
          <w:top w:val="single" w:color="auto" w:sz="4" w:space="1"/>
          <w:left w:val="single" w:color="auto" w:sz="4" w:space="4"/>
          <w:bottom w:val="single" w:color="auto" w:sz="4" w:space="1"/>
          <w:right w:val="single" w:color="auto" w:sz="4" w:space="4"/>
        </w:pBdr>
        <w:overflowPunct/>
        <w:autoSpaceDE/>
        <w:autoSpaceDN/>
        <w:rPr>
          <w:szCs w:val="20"/>
        </w:rPr>
      </w:pPr>
      <w:r>
        <w:rPr>
          <w:szCs w:val="20"/>
        </w:rPr>
        <w:t>Agree to limit to A or B and continue discussion between options A and B</w:t>
      </w:r>
    </w:p>
    <w:p>
      <w:pPr>
        <w:pStyle w:val="85"/>
        <w:pBdr>
          <w:top w:val="single" w:color="auto" w:sz="4" w:space="1"/>
          <w:left w:val="single" w:color="auto" w:sz="4" w:space="4"/>
          <w:bottom w:val="single" w:color="auto" w:sz="4" w:space="1"/>
          <w:right w:val="single" w:color="auto" w:sz="4" w:space="4"/>
        </w:pBdr>
        <w:rPr>
          <w:szCs w:val="20"/>
        </w:rPr>
      </w:pPr>
      <w:r>
        <w:rPr>
          <w:szCs w:val="20"/>
        </w:rPr>
        <w:tab/>
      </w:r>
      <w:r>
        <w:rPr>
          <w:szCs w:val="20"/>
        </w:rPr>
        <w:t>Option A: UTC time + duration/timer, e.g. 00:00:01 + 40s</w:t>
      </w:r>
    </w:p>
    <w:p>
      <w:pPr>
        <w:pStyle w:val="85"/>
        <w:pBdr>
          <w:top w:val="single" w:color="auto" w:sz="4" w:space="1"/>
          <w:left w:val="single" w:color="auto" w:sz="4" w:space="4"/>
          <w:bottom w:val="single" w:color="auto" w:sz="4" w:space="1"/>
          <w:right w:val="single" w:color="auto" w:sz="4" w:space="4"/>
        </w:pBdr>
        <w:rPr>
          <w:szCs w:val="20"/>
        </w:rPr>
      </w:pPr>
      <w:r>
        <w:rPr>
          <w:szCs w:val="20"/>
        </w:rPr>
        <w:tab/>
      </w:r>
      <w:r>
        <w:rPr>
          <w:szCs w:val="20"/>
        </w:rPr>
        <w:t>Option B: Two UTC time to indicate the start (T1) and end time (T2) of the candidate cell, e.g. 00:00:01 + 00:00:41</w:t>
      </w:r>
    </w:p>
    <w:p>
      <w:pPr>
        <w:pStyle w:val="110"/>
        <w:rPr>
          <w:rFonts w:eastAsiaTheme="minorEastAsia"/>
          <w:i w:val="0"/>
          <w:sz w:val="20"/>
          <w:szCs w:val="20"/>
          <w:lang w:val="en-US" w:eastAsia="zh-CN"/>
        </w:rPr>
      </w:pPr>
    </w:p>
    <w:p>
      <w:pPr>
        <w:pStyle w:val="85"/>
        <w:pBdr>
          <w:top w:val="single" w:color="auto" w:sz="4" w:space="1"/>
          <w:left w:val="single" w:color="auto" w:sz="4" w:space="4"/>
          <w:bottom w:val="single" w:color="auto" w:sz="4" w:space="1"/>
          <w:right w:val="single" w:color="auto" w:sz="4" w:space="4"/>
        </w:pBdr>
        <w:rPr>
          <w:szCs w:val="20"/>
        </w:rPr>
      </w:pPr>
      <w:r>
        <w:rPr>
          <w:szCs w:val="20"/>
        </w:rPr>
        <w:t>Agreements via email - from offline 103 second round:</w:t>
      </w:r>
    </w:p>
    <w:p>
      <w:pPr>
        <w:pStyle w:val="85"/>
        <w:numPr>
          <w:ilvl w:val="0"/>
          <w:numId w:val="13"/>
        </w:numPr>
        <w:pBdr>
          <w:top w:val="single" w:color="auto" w:sz="4" w:space="1"/>
          <w:left w:val="single" w:color="auto" w:sz="4" w:space="4"/>
          <w:bottom w:val="single" w:color="auto" w:sz="4" w:space="1"/>
          <w:right w:val="single" w:color="auto" w:sz="4" w:space="4"/>
        </w:pBdr>
        <w:overflowPunct/>
        <w:autoSpaceDE/>
        <w:autoSpaceDN/>
        <w:rPr>
          <w:szCs w:val="20"/>
        </w:rPr>
      </w:pPr>
      <w:r>
        <w:rPr>
          <w:szCs w:val="20"/>
        </w:rPr>
        <w:t>RAN2 adopts Option 1: UTC time + duration/timer, e.g. 00:00:01 + 40s for representing T1 and T2 for CHO time event.</w:t>
      </w:r>
    </w:p>
    <w:p>
      <w:pPr>
        <w:pStyle w:val="85"/>
        <w:pBdr>
          <w:top w:val="single" w:color="auto" w:sz="4" w:space="1"/>
          <w:left w:val="single" w:color="auto" w:sz="4" w:space="4"/>
          <w:bottom w:val="single" w:color="auto" w:sz="4" w:space="1"/>
          <w:right w:val="single" w:color="auto" w:sz="4" w:space="4"/>
        </w:pBdr>
        <w:rPr>
          <w:szCs w:val="20"/>
        </w:rPr>
      </w:pPr>
      <w:r>
        <w:rPr>
          <w:szCs w:val="20"/>
        </w:rPr>
        <w:t>2.</w:t>
      </w:r>
      <w:r>
        <w:rPr>
          <w:szCs w:val="20"/>
        </w:rPr>
        <w:tab/>
      </w:r>
      <w:r>
        <w:rPr>
          <w:szCs w:val="20"/>
        </w:rPr>
        <w:t>RAN2 adopts options C: location and RRM and D: time and RRM to be configuration options for CHO</w:t>
      </w:r>
    </w:p>
    <w:p>
      <w:pPr>
        <w:pStyle w:val="85"/>
        <w:pBdr>
          <w:top w:val="single" w:color="auto" w:sz="4" w:space="1"/>
          <w:left w:val="single" w:color="auto" w:sz="4" w:space="4"/>
          <w:bottom w:val="single" w:color="auto" w:sz="4" w:space="1"/>
          <w:right w:val="single" w:color="auto" w:sz="4" w:space="4"/>
        </w:pBdr>
        <w:rPr>
          <w:szCs w:val="20"/>
        </w:rPr>
      </w:pPr>
      <w:r>
        <w:rPr>
          <w:szCs w:val="20"/>
        </w:rPr>
        <w:t>3.</w:t>
      </w:r>
      <w:r>
        <w:rPr>
          <w:szCs w:val="20"/>
        </w:rPr>
        <w:tab/>
      </w:r>
      <w:r>
        <w:rPr>
          <w:szCs w:val="20"/>
        </w:rPr>
        <w:t>RAN2 down priorities further enha</w:t>
      </w:r>
      <w:r>
        <w:rPr>
          <w:rFonts w:hint="eastAsia" w:eastAsiaTheme="minorEastAsia"/>
          <w:szCs w:val="20"/>
        </w:rPr>
        <w:t>n</w:t>
      </w:r>
      <w:r>
        <w:rPr>
          <w:szCs w:val="20"/>
        </w:rPr>
        <w:t>cements for connected mode for Rel-17 for TN-NTN mobility</w:t>
      </w:r>
      <w:r>
        <w:rPr>
          <w:szCs w:val="20"/>
        </w:rPr>
        <w:tab/>
      </w:r>
    </w:p>
    <w:p>
      <w:pPr>
        <w:pStyle w:val="85"/>
        <w:pBdr>
          <w:top w:val="single" w:color="auto" w:sz="4" w:space="1"/>
          <w:left w:val="single" w:color="auto" w:sz="4" w:space="4"/>
          <w:bottom w:val="single" w:color="auto" w:sz="4" w:space="1"/>
          <w:right w:val="single" w:color="auto" w:sz="4" w:space="4"/>
        </w:pBdr>
        <w:rPr>
          <w:szCs w:val="20"/>
        </w:rPr>
      </w:pPr>
      <w:r>
        <w:rPr>
          <w:szCs w:val="20"/>
        </w:rPr>
        <w:t>4.</w:t>
      </w:r>
      <w:r>
        <w:rPr>
          <w:szCs w:val="20"/>
        </w:rPr>
        <w:tab/>
      </w:r>
      <w:r>
        <w:rPr>
          <w:szCs w:val="20"/>
        </w:rPr>
        <w:t>RAN2 continue discussing the exact solution for TN priorization over NTN for idle mode</w:t>
      </w:r>
    </w:p>
    <w:p>
      <w:pPr>
        <w:suppressAutoHyphens/>
        <w:adjustRightInd/>
        <w:spacing w:before="120"/>
        <w:rPr>
          <w:rFonts w:hint="default" w:cs="Arial" w:eastAsiaTheme="minorEastAsia"/>
          <w:lang w:val="en-US"/>
        </w:rPr>
      </w:pPr>
      <w:r>
        <w:rPr>
          <w:rFonts w:hint="eastAsia" w:cs="Arial" w:eastAsiaTheme="minorEastAsia"/>
        </w:rPr>
        <w:t xml:space="preserve">As mentioned above, TN-NTN mobility enhancements will not be discussed further in R17. </w:t>
      </w:r>
      <w:r>
        <w:rPr>
          <w:rFonts w:hint="default" w:cs="Arial" w:eastAsiaTheme="minorEastAsia"/>
          <w:lang w:val="en-US"/>
        </w:rPr>
        <w:t xml:space="preserve">And in the last RAN2 meeting, there has no TU for the connected mode. </w:t>
      </w:r>
      <w:r>
        <w:rPr>
          <w:rFonts w:hint="eastAsia" w:cs="Arial" w:eastAsiaTheme="minorEastAsia"/>
        </w:rPr>
        <w:t xml:space="preserve">However, from our perspective, intra-NTN mobility could </w:t>
      </w:r>
      <w:r>
        <w:rPr>
          <w:rFonts w:cs="Arial" w:eastAsiaTheme="minorEastAsia"/>
        </w:rPr>
        <w:t>be further optimized</w:t>
      </w:r>
      <w:r>
        <w:rPr>
          <w:rFonts w:hint="eastAsia" w:cs="Arial" w:eastAsiaTheme="minorEastAsia"/>
        </w:rPr>
        <w:t xml:space="preserve"> considering the inevitable signaling storm </w:t>
      </w:r>
      <w:r>
        <w:rPr>
          <w:rFonts w:cs="Arial" w:eastAsiaTheme="minorEastAsia"/>
        </w:rPr>
        <w:t>caused by a large number of UE handover almost at the same time</w:t>
      </w:r>
      <w:r>
        <w:rPr>
          <w:rFonts w:hint="eastAsia" w:cs="Arial" w:eastAsiaTheme="minorEastAsia"/>
        </w:rPr>
        <w:t>.</w:t>
      </w:r>
      <w:r>
        <w:rPr>
          <w:rFonts w:hint="default" w:cs="Arial" w:eastAsiaTheme="minorEastAsia"/>
          <w:lang w:val="en-US"/>
        </w:rPr>
        <w:t xml:space="preserve"> Maybe some discussion could start in R17 final stage at least instead of leaving it all to R18, cause the issue is important for NTN system especially the LEO scenarios.</w:t>
      </w:r>
    </w:p>
    <w:p>
      <w:pPr>
        <w:suppressAutoHyphens/>
        <w:adjustRightInd/>
        <w:spacing w:before="120"/>
        <w:rPr>
          <w:rFonts w:eastAsiaTheme="minorEastAsia"/>
        </w:rPr>
      </w:pPr>
      <w:r>
        <w:rPr>
          <w:rFonts w:hint="eastAsia" w:cs="Arial" w:eastAsiaTheme="minorEastAsia"/>
        </w:rPr>
        <w:t>Therefore, i</w:t>
      </w:r>
      <w:r>
        <w:rPr>
          <w:rFonts w:cs="Arial"/>
        </w:rPr>
        <w:t xml:space="preserve">n this contribution, we would like to provide some analysis and consideration on the signaling issue for </w:t>
      </w:r>
      <w:r>
        <w:rPr>
          <w:rFonts w:hint="eastAsia" w:cs="Arial" w:eastAsiaTheme="minorEastAsia"/>
        </w:rPr>
        <w:t>intra-NTN mobility.</w:t>
      </w:r>
    </w:p>
    <w:p>
      <w:pPr>
        <w:pStyle w:val="2"/>
        <w:rPr>
          <w:rFonts w:cs="Arial"/>
          <w:sz w:val="20"/>
          <w:szCs w:val="20"/>
        </w:rPr>
      </w:pPr>
      <w:r>
        <w:rPr>
          <w:rFonts w:cs="Arial"/>
          <w:sz w:val="20"/>
          <w:szCs w:val="20"/>
        </w:rPr>
        <w:t>Discussion</w:t>
      </w:r>
    </w:p>
    <w:p>
      <w:pPr>
        <w:pStyle w:val="58"/>
        <w:spacing w:after="0"/>
        <w:ind w:left="0" w:firstLine="0"/>
        <w:rPr>
          <w:rFonts w:eastAsiaTheme="minorEastAsia"/>
          <w:bCs/>
          <w:lang w:eastAsia="zh-CN"/>
        </w:rPr>
      </w:pPr>
      <w:bookmarkStart w:id="1" w:name="_Hlk41985036"/>
      <w:r>
        <w:rPr>
          <w:rFonts w:eastAsiaTheme="minorEastAsia"/>
          <w:bCs/>
          <w:lang w:eastAsia="zh-CN"/>
        </w:rPr>
        <w:t>Due to the large coverage of satellites, there may be plenty of UEs need to hand over to a new cell in a short period of time as shown in Fig.1. And if a large number of UEs accessing the same new cell(s) almost simultaneously, it may lead to uplink signaling storms and access resources shortage. Therefore, we could consider some solutions such as distributing UEs to access the same new cell(s). Simply, the UE randomly selects a time to access the new cell within the time range configured by the serving cell, or the UE could use UE ID and the parameters provided by the network side to perform a modulo to obtain the UE-specific moment</w:t>
      </w:r>
      <w:r>
        <w:rPr>
          <w:rFonts w:hint="eastAsia" w:eastAsiaTheme="minorEastAsia"/>
          <w:bCs/>
          <w:lang w:eastAsia="zh-CN"/>
        </w:rPr>
        <w:t xml:space="preserve"> </w:t>
      </w:r>
      <w:r>
        <w:rPr>
          <w:rFonts w:eastAsiaTheme="minorEastAsia"/>
          <w:bCs/>
          <w:lang w:eastAsia="zh-CN"/>
        </w:rPr>
        <w:t xml:space="preserve">to access the new cell. </w:t>
      </w:r>
    </w:p>
    <w:p>
      <w:pPr>
        <w:pStyle w:val="58"/>
        <w:spacing w:after="0"/>
        <w:ind w:left="0" w:firstLine="0"/>
        <w:jc w:val="center"/>
      </w:pPr>
      <w:r>
        <w:object>
          <v:shape id="_x0000_i1025" o:spt="75" type="#_x0000_t75" style="height:165.05pt;width:214.1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58"/>
        <w:spacing w:after="0"/>
        <w:ind w:left="0" w:firstLine="0"/>
        <w:jc w:val="center"/>
        <w:rPr>
          <w:rFonts w:eastAsiaTheme="minorEastAsia"/>
          <w:bCs/>
          <w:lang w:eastAsia="zh-CN"/>
        </w:rPr>
      </w:pPr>
      <w:r>
        <w:rPr>
          <w:rFonts w:eastAsiaTheme="minorEastAsia"/>
          <w:bCs/>
          <w:lang w:eastAsia="zh-CN"/>
        </w:rPr>
        <w:t>Fig.1 UEs handover in NTN system</w:t>
      </w:r>
    </w:p>
    <w:p>
      <w:pPr>
        <w:pStyle w:val="58"/>
        <w:spacing w:after="0"/>
        <w:ind w:left="0" w:firstLine="0"/>
        <w:rPr>
          <w:rFonts w:eastAsiaTheme="minorEastAsia"/>
          <w:bCs/>
          <w:lang w:eastAsia="zh-CN"/>
        </w:rPr>
      </w:pPr>
      <w:r>
        <w:rPr>
          <w:rFonts w:hint="eastAsia" w:eastAsiaTheme="minorEastAsia"/>
          <w:b/>
          <w:bCs/>
          <w:lang w:eastAsia="zh-CN"/>
        </w:rPr>
        <w:t>P</w:t>
      </w:r>
      <w:r>
        <w:rPr>
          <w:rFonts w:eastAsiaTheme="minorEastAsia"/>
          <w:b/>
          <w:bCs/>
          <w:lang w:eastAsia="zh-CN"/>
        </w:rPr>
        <w:t>roposal 1: We suggest RAN2 to consider some solutions such as distributing UEs to access the same new cell(s) considering uplink signaling storms and access resources shortage due to a large number of UEs accessing the same new cell(s) almost simultaneously.</w:t>
      </w:r>
    </w:p>
    <w:p>
      <w:pPr>
        <w:pStyle w:val="58"/>
        <w:spacing w:after="0"/>
        <w:ind w:left="0" w:firstLine="0"/>
        <w:rPr>
          <w:rFonts w:eastAsiaTheme="minorEastAsia"/>
          <w:bCs/>
          <w:lang w:eastAsia="zh-CN"/>
        </w:rPr>
      </w:pPr>
    </w:p>
    <w:p>
      <w:pPr>
        <w:pStyle w:val="58"/>
        <w:spacing w:after="0"/>
        <w:ind w:left="0" w:firstLine="0"/>
        <w:rPr>
          <w:rFonts w:eastAsiaTheme="minorEastAsia"/>
          <w:bCs/>
          <w:lang w:eastAsia="zh-CN"/>
        </w:rPr>
      </w:pPr>
      <w:r>
        <w:rPr>
          <w:rFonts w:eastAsiaTheme="minorEastAsia"/>
          <w:bCs/>
          <w:lang w:eastAsia="zh-CN"/>
        </w:rPr>
        <w:t>In addition, legacy handover mechanism requires a large amount of signaling interaction among UE, source gNB, and target gNB. For NTN, the high-speed movement of the satellites(e.g. LEO) will obviously lead to frequent HO in a short time.</w:t>
      </w:r>
    </w:p>
    <w:p>
      <w:pPr>
        <w:pStyle w:val="58"/>
        <w:spacing w:after="0"/>
        <w:ind w:left="0" w:firstLine="0"/>
        <w:rPr>
          <w:rFonts w:eastAsiaTheme="minorEastAsia"/>
          <w:bCs/>
          <w:lang w:eastAsia="zh-CN"/>
        </w:rPr>
      </w:pPr>
      <w:r>
        <w:rPr>
          <w:rFonts w:hint="eastAsia" w:eastAsiaTheme="minorEastAsia"/>
          <w:bCs/>
          <w:lang w:eastAsia="zh-CN"/>
        </w:rPr>
        <w:t>F</w:t>
      </w:r>
      <w:r>
        <w:rPr>
          <w:rFonts w:eastAsiaTheme="minorEastAsia"/>
          <w:bCs/>
          <w:lang w:eastAsia="zh-CN"/>
        </w:rPr>
        <w:t>urthermore, the coverage of the satellites is much larger than the terrestrial network resulting in a very large number of UEs in a single satellite cell, which will make the handover procedure more difficult besides the challenges mentioned above.</w:t>
      </w:r>
    </w:p>
    <w:p>
      <w:pPr>
        <w:pStyle w:val="58"/>
        <w:spacing w:after="0"/>
        <w:ind w:left="0" w:firstLine="0"/>
        <w:rPr>
          <w:rFonts w:eastAsiaTheme="minorEastAsia"/>
          <w:bCs/>
          <w:lang w:eastAsia="zh-CN"/>
        </w:rPr>
      </w:pPr>
      <w:r>
        <w:rPr>
          <w:rFonts w:eastAsiaTheme="minorEastAsia"/>
          <w:bCs/>
          <w:lang w:eastAsia="zh-CN"/>
        </w:rPr>
        <w:t xml:space="preserve">For the frequent HO in a short time with a large number of UEs, some signaling and information that are common to all the UEs can be notified to the UEs through broadcast as studied in SI. </w:t>
      </w:r>
      <w:r>
        <w:rPr>
          <w:rFonts w:hint="eastAsia" w:eastAsiaTheme="minorEastAsia"/>
          <w:bCs/>
          <w:lang w:eastAsia="zh-CN"/>
        </w:rPr>
        <w:t>However</w:t>
      </w:r>
      <w:r>
        <w:rPr>
          <w:rFonts w:eastAsiaTheme="minorEastAsia"/>
          <w:bCs/>
          <w:lang w:eastAsia="zh-CN"/>
        </w:rPr>
        <w:t xml:space="preserve">, </w:t>
      </w:r>
      <w:r>
        <w:rPr>
          <w:rFonts w:hint="eastAsia" w:eastAsiaTheme="minorEastAsia"/>
          <w:bCs/>
          <w:lang w:eastAsia="zh-CN"/>
        </w:rPr>
        <w:t xml:space="preserve">the gain of </w:t>
      </w:r>
      <w:r>
        <w:rPr>
          <w:rFonts w:eastAsiaTheme="minorEastAsia"/>
          <w:bCs/>
          <w:lang w:eastAsia="zh-CN"/>
        </w:rPr>
        <w:t>signaling</w:t>
      </w:r>
      <w:r>
        <w:rPr>
          <w:rFonts w:hint="eastAsia" w:eastAsiaTheme="minorEastAsia"/>
          <w:bCs/>
          <w:lang w:eastAsia="zh-CN"/>
        </w:rPr>
        <w:t xml:space="preserve"> overhead reduction is limited through the notification of </w:t>
      </w:r>
      <w:r>
        <w:rPr>
          <w:rFonts w:eastAsiaTheme="minorEastAsia"/>
          <w:bCs/>
          <w:lang w:eastAsia="zh-CN"/>
        </w:rPr>
        <w:t>the common signaling and information</w:t>
      </w:r>
      <w:r>
        <w:rPr>
          <w:rFonts w:hint="eastAsia" w:eastAsiaTheme="minorEastAsia"/>
          <w:bCs/>
          <w:lang w:eastAsia="zh-CN"/>
        </w:rPr>
        <w:t xml:space="preserve"> via SI</w:t>
      </w:r>
      <w:r>
        <w:rPr>
          <w:rFonts w:eastAsiaTheme="minorEastAsia"/>
          <w:bCs/>
          <w:lang w:eastAsia="zh-CN"/>
        </w:rPr>
        <w:t xml:space="preserve">. There </w:t>
      </w:r>
      <w:r>
        <w:rPr>
          <w:rFonts w:hint="eastAsia" w:eastAsiaTheme="minorEastAsia"/>
          <w:bCs/>
          <w:lang w:eastAsia="zh-CN"/>
        </w:rPr>
        <w:t>is</w:t>
      </w:r>
      <w:r>
        <w:rPr>
          <w:rFonts w:eastAsiaTheme="minorEastAsia"/>
          <w:bCs/>
          <w:lang w:eastAsia="zh-CN"/>
        </w:rPr>
        <w:t xml:space="preserve"> still much UE-specific signaling and information that need to be interact</w:t>
      </w:r>
      <w:r>
        <w:rPr>
          <w:rFonts w:hint="eastAsia" w:eastAsiaTheme="minorEastAsia"/>
          <w:bCs/>
          <w:lang w:eastAsia="zh-CN"/>
        </w:rPr>
        <w:t xml:space="preserve">ed </w:t>
      </w:r>
      <w:r>
        <w:rPr>
          <w:rFonts w:eastAsiaTheme="minorEastAsia"/>
          <w:bCs/>
          <w:lang w:eastAsia="zh-CN"/>
        </w:rPr>
        <w:t xml:space="preserve">among UE, source gNB, and target gNB, therefore, this solution may be needed to further </w:t>
      </w:r>
      <w:r>
        <w:rPr>
          <w:rFonts w:hint="eastAsia" w:eastAsiaTheme="minorEastAsia"/>
          <w:bCs/>
          <w:lang w:eastAsia="zh-CN"/>
        </w:rPr>
        <w:t>evaluation</w:t>
      </w:r>
      <w:r>
        <w:rPr>
          <w:rFonts w:eastAsiaTheme="minorEastAsia"/>
          <w:bCs/>
          <w:lang w:eastAsia="zh-CN"/>
        </w:rPr>
        <w:t>.</w:t>
      </w:r>
    </w:p>
    <w:p>
      <w:pPr>
        <w:pStyle w:val="58"/>
        <w:spacing w:after="0"/>
        <w:ind w:left="0" w:firstLine="0"/>
        <w:rPr>
          <w:rFonts w:eastAsiaTheme="minorEastAsia"/>
          <w:bCs/>
          <w:lang w:eastAsia="zh-CN"/>
        </w:rPr>
      </w:pPr>
      <w:r>
        <w:rPr>
          <w:rFonts w:eastAsiaTheme="minorEastAsia"/>
          <w:b/>
          <w:bCs/>
          <w:lang w:eastAsia="zh-CN"/>
        </w:rPr>
        <w:t xml:space="preserve">Proposal 2: The gain of signaling overhead reduction </w:t>
      </w:r>
      <w:r>
        <w:rPr>
          <w:rFonts w:hint="eastAsia" w:eastAsiaTheme="minorEastAsia"/>
          <w:b/>
          <w:bCs/>
          <w:lang w:eastAsia="zh-CN"/>
        </w:rPr>
        <w:t xml:space="preserve">through the solution </w:t>
      </w:r>
      <w:r>
        <w:rPr>
          <w:rFonts w:eastAsiaTheme="minorEastAsia"/>
          <w:b/>
          <w:bCs/>
          <w:lang w:eastAsia="zh-CN"/>
        </w:rPr>
        <w:t>that broadcast handover signaling and information common to all the UEs may need to further evaluate due to the limited common signaling and information that can be extracted.</w:t>
      </w:r>
    </w:p>
    <w:p>
      <w:pPr>
        <w:pStyle w:val="58"/>
        <w:spacing w:after="0"/>
        <w:ind w:left="0" w:firstLine="0"/>
        <w:rPr>
          <w:rFonts w:eastAsiaTheme="minorEastAsia"/>
          <w:bCs/>
          <w:lang w:eastAsia="zh-CN"/>
        </w:rPr>
      </w:pPr>
      <w:r>
        <w:rPr>
          <w:rFonts w:eastAsiaTheme="minorEastAsia"/>
          <w:bCs/>
          <w:lang w:eastAsia="zh-CN"/>
        </w:rPr>
        <w:t>In order to decrease overall signaling overhead,</w:t>
      </w:r>
      <w:r>
        <w:rPr>
          <w:rFonts w:hint="eastAsia" w:eastAsiaTheme="minorEastAsia"/>
          <w:bCs/>
          <w:lang w:eastAsia="zh-CN"/>
        </w:rPr>
        <w:t xml:space="preserve"> </w:t>
      </w:r>
      <w:r>
        <w:rPr>
          <w:rFonts w:eastAsiaTheme="minorEastAsia"/>
          <w:bCs/>
          <w:lang w:eastAsia="zh-CN"/>
        </w:rPr>
        <w:t xml:space="preserve">maybe we could consider to reduce one interactive node. As </w:t>
      </w:r>
      <w:r>
        <w:rPr>
          <w:rFonts w:hint="eastAsia" w:eastAsiaTheme="minorEastAsia"/>
          <w:bCs/>
          <w:lang w:eastAsia="zh-CN"/>
        </w:rPr>
        <w:t>w</w:t>
      </w:r>
      <w:r>
        <w:rPr>
          <w:rFonts w:eastAsiaTheme="minorEastAsia"/>
          <w:bCs/>
          <w:lang w:eastAsia="zh-CN"/>
        </w:rPr>
        <w:t>e know, there are three nodes</w:t>
      </w:r>
      <w:r>
        <w:rPr>
          <w:rFonts w:hint="eastAsia" w:eastAsiaTheme="minorEastAsia"/>
          <w:bCs/>
          <w:lang w:eastAsia="zh-CN"/>
        </w:rPr>
        <w:t xml:space="preserve"> </w:t>
      </w:r>
      <w:r>
        <w:rPr>
          <w:rFonts w:eastAsiaTheme="minorEastAsia"/>
          <w:bCs/>
          <w:lang w:eastAsia="zh-CN"/>
        </w:rPr>
        <w:t xml:space="preserve">(i.e. source gNB, target gNB and UE) </w:t>
      </w:r>
      <w:r>
        <w:rPr>
          <w:rFonts w:hint="eastAsia" w:eastAsiaTheme="minorEastAsia"/>
          <w:bCs/>
          <w:lang w:eastAsia="zh-CN"/>
        </w:rPr>
        <w:t>during</w:t>
      </w:r>
      <w:r>
        <w:rPr>
          <w:rFonts w:eastAsiaTheme="minorEastAsia"/>
          <w:bCs/>
          <w:lang w:eastAsia="zh-CN"/>
        </w:rPr>
        <w:t xml:space="preserve"> the whole handover procedure. The information of UE is actually known by the source gNB. Therefore, the UE maybe consider to reduce. Then all the information about UE, including UE context, protocol information etc. could be interacted between source gNB and target gNB directly. </w:t>
      </w:r>
    </w:p>
    <w:p>
      <w:pPr>
        <w:pStyle w:val="58"/>
        <w:spacing w:after="0"/>
        <w:ind w:left="0" w:firstLine="0"/>
        <w:rPr>
          <w:rFonts w:eastAsiaTheme="minorEastAsia"/>
          <w:bCs/>
          <w:lang w:eastAsia="zh-CN"/>
        </w:rPr>
      </w:pPr>
      <w:r>
        <w:rPr>
          <w:rFonts w:eastAsiaTheme="minorEastAsia"/>
          <w:b/>
          <w:bCs/>
          <w:lang w:eastAsia="zh-CN"/>
        </w:rPr>
        <w:t xml:space="preserve">Proposal 3: In order to decrease signaling overhead </w:t>
      </w:r>
      <w:r>
        <w:rPr>
          <w:rFonts w:hint="eastAsia" w:eastAsiaTheme="minorEastAsia"/>
          <w:b/>
          <w:bCs/>
          <w:lang w:eastAsia="zh-CN"/>
        </w:rPr>
        <w:t>during</w:t>
      </w:r>
      <w:r>
        <w:rPr>
          <w:rFonts w:eastAsiaTheme="minorEastAsia"/>
          <w:b/>
          <w:bCs/>
          <w:lang w:eastAsia="zh-CN"/>
        </w:rPr>
        <w:t xml:space="preserve"> the whole HO procedure,</w:t>
      </w:r>
      <w:r>
        <w:rPr>
          <w:rFonts w:hint="eastAsia" w:eastAsiaTheme="minorEastAsia"/>
          <w:b/>
          <w:bCs/>
          <w:lang w:eastAsia="zh-CN"/>
        </w:rPr>
        <w:t xml:space="preserve"> </w:t>
      </w:r>
      <w:r>
        <w:rPr>
          <w:rFonts w:eastAsiaTheme="minorEastAsia"/>
          <w:b/>
          <w:bCs/>
          <w:lang w:eastAsia="zh-CN"/>
        </w:rPr>
        <w:t xml:space="preserve">we could consider a handover scheme that the UE does not perceive, </w:t>
      </w:r>
      <w:r>
        <w:rPr>
          <w:rFonts w:hint="eastAsia" w:eastAsiaTheme="minorEastAsia"/>
          <w:b/>
          <w:bCs/>
          <w:lang w:eastAsia="zh-CN"/>
        </w:rPr>
        <w:t xml:space="preserve">where </w:t>
      </w:r>
      <w:r>
        <w:rPr>
          <w:rFonts w:eastAsiaTheme="minorEastAsia"/>
          <w:b/>
          <w:bCs/>
          <w:lang w:eastAsia="zh-CN"/>
        </w:rPr>
        <w:t xml:space="preserve">all the information about UE, including UE context, protocol </w:t>
      </w:r>
      <w:r>
        <w:rPr>
          <w:rFonts w:hint="eastAsia" w:eastAsiaTheme="minorEastAsia"/>
          <w:b/>
          <w:bCs/>
          <w:lang w:eastAsia="zh-CN"/>
        </w:rPr>
        <w:t xml:space="preserve">configuration, UE </w:t>
      </w:r>
      <w:r>
        <w:rPr>
          <w:rFonts w:eastAsiaTheme="minorEastAsia"/>
          <w:b/>
          <w:bCs/>
          <w:lang w:eastAsia="zh-CN"/>
        </w:rPr>
        <w:t xml:space="preserve">variables, constants and timers etc. could be interacted between source gNB and target gNB </w:t>
      </w:r>
      <w:r>
        <w:rPr>
          <w:rFonts w:hint="eastAsia" w:eastAsiaTheme="minorEastAsia"/>
          <w:b/>
          <w:bCs/>
          <w:lang w:eastAsia="zh-CN"/>
        </w:rPr>
        <w:t>beforehand</w:t>
      </w:r>
      <w:r>
        <w:rPr>
          <w:rFonts w:eastAsiaTheme="minorEastAsia"/>
          <w:b/>
          <w:bCs/>
          <w:lang w:eastAsia="zh-CN"/>
        </w:rPr>
        <w:t>.</w:t>
      </w:r>
    </w:p>
    <w:p>
      <w:pPr>
        <w:pStyle w:val="58"/>
        <w:spacing w:after="0"/>
        <w:ind w:left="0" w:firstLine="0"/>
        <w:rPr>
          <w:rFonts w:eastAsiaTheme="minorEastAsia"/>
          <w:bCs/>
          <w:lang w:eastAsia="zh-CN"/>
        </w:rPr>
      </w:pPr>
      <w:r>
        <w:rPr>
          <w:rFonts w:eastAsiaTheme="minorEastAsia"/>
          <w:bCs/>
          <w:lang w:eastAsia="zh-CN"/>
        </w:rPr>
        <w:t>To ensure seamless handover, the source gNB needs to pre-evaluate the timing to handover the UE to the new gNB, so that all the information of UE can be transmitted to the target gNB in advance. The location information including UE location and the satellite ephemeris is important for the HO timing deduction.</w:t>
      </w:r>
    </w:p>
    <w:p>
      <w:pPr>
        <w:pStyle w:val="58"/>
        <w:spacing w:after="0"/>
        <w:ind w:left="0" w:firstLine="0"/>
        <w:rPr>
          <w:rFonts w:eastAsiaTheme="minorEastAsia"/>
          <w:b/>
          <w:bCs/>
          <w:lang w:eastAsia="zh-CN"/>
        </w:rPr>
      </w:pPr>
      <w:r>
        <w:rPr>
          <w:rFonts w:eastAsiaTheme="minorEastAsia"/>
          <w:b/>
          <w:bCs/>
          <w:lang w:eastAsia="zh-CN"/>
        </w:rPr>
        <w:t>Proposal 4: To ensure seamless handover, the source gNB needs to pre-evaluate the HO timing to transmit all the information of UE to the target gNB in advance.</w:t>
      </w:r>
    </w:p>
    <w:bookmarkEnd w:id="1"/>
    <w:p>
      <w:pPr>
        <w:pStyle w:val="2"/>
        <w:rPr>
          <w:rFonts w:cs="Arial"/>
          <w:sz w:val="20"/>
          <w:szCs w:val="20"/>
        </w:rPr>
      </w:pPr>
      <w:r>
        <w:rPr>
          <w:rFonts w:cs="Arial"/>
          <w:sz w:val="20"/>
          <w:szCs w:val="20"/>
        </w:rPr>
        <w:t>Conclusion</w:t>
      </w:r>
    </w:p>
    <w:p>
      <w:pPr>
        <w:spacing w:after="0"/>
        <w:rPr>
          <w:rFonts w:eastAsia="宋体" w:cs="Arial"/>
        </w:rPr>
      </w:pPr>
      <w:r>
        <w:rPr>
          <w:rFonts w:eastAsia="宋体" w:cs="Arial"/>
        </w:rPr>
        <w:t xml:space="preserve">Based on the discussions mentioned above, in this contribution we provide some further discussions on the </w:t>
      </w:r>
      <w:r>
        <w:rPr>
          <w:rFonts w:hint="eastAsia" w:eastAsia="宋体" w:cs="Arial"/>
        </w:rPr>
        <w:t xml:space="preserve">intra-NTN </w:t>
      </w:r>
      <w:r>
        <w:rPr>
          <w:rFonts w:eastAsia="宋体" w:cs="Arial"/>
        </w:rPr>
        <w:t>and have the following proposals:</w:t>
      </w:r>
    </w:p>
    <w:p>
      <w:pPr>
        <w:pStyle w:val="58"/>
        <w:spacing w:after="0"/>
        <w:ind w:left="0" w:firstLine="0"/>
        <w:rPr>
          <w:rFonts w:eastAsiaTheme="minorEastAsia"/>
          <w:bCs/>
          <w:lang w:eastAsia="zh-CN"/>
        </w:rPr>
      </w:pPr>
      <w:r>
        <w:rPr>
          <w:rFonts w:hint="eastAsia" w:eastAsiaTheme="minorEastAsia"/>
          <w:b/>
          <w:bCs/>
          <w:lang w:eastAsia="zh-CN"/>
        </w:rPr>
        <w:t>P</w:t>
      </w:r>
      <w:r>
        <w:rPr>
          <w:rFonts w:eastAsiaTheme="minorEastAsia"/>
          <w:b/>
          <w:bCs/>
          <w:lang w:eastAsia="zh-CN"/>
        </w:rPr>
        <w:t>roposal 1: We suggest RAN2 to consider some solutions such as distributing UEs to access the same new cell(s) considering uplink signaling storms and access resources shortage due to a large number of UEs accessing the same new cell(s) almost simultaneously.</w:t>
      </w:r>
    </w:p>
    <w:p>
      <w:pPr>
        <w:pStyle w:val="58"/>
        <w:spacing w:after="0"/>
        <w:ind w:left="0" w:firstLine="0"/>
        <w:rPr>
          <w:rFonts w:eastAsiaTheme="minorEastAsia"/>
          <w:bCs/>
          <w:lang w:eastAsia="zh-CN"/>
        </w:rPr>
      </w:pPr>
      <w:r>
        <w:rPr>
          <w:rFonts w:eastAsiaTheme="minorEastAsia"/>
          <w:b/>
          <w:bCs/>
          <w:lang w:eastAsia="zh-CN"/>
        </w:rPr>
        <w:t xml:space="preserve">Proposal 2: The gain of signaling overhead reduction </w:t>
      </w:r>
      <w:r>
        <w:rPr>
          <w:rFonts w:hint="eastAsia" w:eastAsiaTheme="minorEastAsia"/>
          <w:b/>
          <w:bCs/>
          <w:lang w:eastAsia="zh-CN"/>
        </w:rPr>
        <w:t xml:space="preserve">through the solution </w:t>
      </w:r>
      <w:r>
        <w:rPr>
          <w:rFonts w:eastAsiaTheme="minorEastAsia"/>
          <w:b/>
          <w:bCs/>
          <w:lang w:eastAsia="zh-CN"/>
        </w:rPr>
        <w:t>that broadcast handover signaling and information common to all the UEs may need to further evaluate due to the limited common signaling and information that can be extracted.</w:t>
      </w:r>
    </w:p>
    <w:p>
      <w:pPr>
        <w:pStyle w:val="58"/>
        <w:spacing w:after="0"/>
        <w:ind w:left="0" w:firstLine="0"/>
        <w:rPr>
          <w:rFonts w:eastAsiaTheme="minorEastAsia"/>
          <w:bCs/>
          <w:lang w:eastAsia="zh-CN"/>
        </w:rPr>
      </w:pPr>
      <w:r>
        <w:rPr>
          <w:rFonts w:eastAsiaTheme="minorEastAsia"/>
          <w:b/>
          <w:bCs/>
          <w:lang w:eastAsia="zh-CN"/>
        </w:rPr>
        <w:t xml:space="preserve">Proposal 3: In order to decrease signaling overhead </w:t>
      </w:r>
      <w:r>
        <w:rPr>
          <w:rFonts w:hint="eastAsia" w:eastAsiaTheme="minorEastAsia"/>
          <w:b/>
          <w:bCs/>
          <w:lang w:eastAsia="zh-CN"/>
        </w:rPr>
        <w:t>during</w:t>
      </w:r>
      <w:r>
        <w:rPr>
          <w:rFonts w:eastAsiaTheme="minorEastAsia"/>
          <w:b/>
          <w:bCs/>
          <w:lang w:eastAsia="zh-CN"/>
        </w:rPr>
        <w:t xml:space="preserve"> the whole HO procedure,</w:t>
      </w:r>
      <w:r>
        <w:rPr>
          <w:rFonts w:hint="eastAsia" w:eastAsiaTheme="minorEastAsia"/>
          <w:b/>
          <w:bCs/>
          <w:lang w:eastAsia="zh-CN"/>
        </w:rPr>
        <w:t xml:space="preserve"> </w:t>
      </w:r>
      <w:r>
        <w:rPr>
          <w:rFonts w:eastAsiaTheme="minorEastAsia"/>
          <w:b/>
          <w:bCs/>
          <w:lang w:eastAsia="zh-CN"/>
        </w:rPr>
        <w:t xml:space="preserve">we could consider a handover scheme that the UE does not perceive, </w:t>
      </w:r>
      <w:r>
        <w:rPr>
          <w:rFonts w:hint="eastAsia" w:eastAsiaTheme="minorEastAsia"/>
          <w:b/>
          <w:bCs/>
          <w:lang w:eastAsia="zh-CN"/>
        </w:rPr>
        <w:t xml:space="preserve">where </w:t>
      </w:r>
      <w:r>
        <w:rPr>
          <w:rFonts w:eastAsiaTheme="minorEastAsia"/>
          <w:b/>
          <w:bCs/>
          <w:lang w:eastAsia="zh-CN"/>
        </w:rPr>
        <w:t xml:space="preserve">all the information about UE, including UE context, protocol </w:t>
      </w:r>
      <w:r>
        <w:rPr>
          <w:rFonts w:hint="eastAsia" w:eastAsiaTheme="minorEastAsia"/>
          <w:b/>
          <w:bCs/>
          <w:lang w:eastAsia="zh-CN"/>
        </w:rPr>
        <w:t xml:space="preserve">configuration, UE </w:t>
      </w:r>
      <w:r>
        <w:rPr>
          <w:rFonts w:eastAsiaTheme="minorEastAsia"/>
          <w:b/>
          <w:bCs/>
          <w:lang w:eastAsia="zh-CN"/>
        </w:rPr>
        <w:t xml:space="preserve">variables, constants and timers etc. could be interacted between source gNB and target gNB </w:t>
      </w:r>
      <w:r>
        <w:rPr>
          <w:rFonts w:hint="eastAsia" w:eastAsiaTheme="minorEastAsia"/>
          <w:b/>
          <w:bCs/>
          <w:lang w:eastAsia="zh-CN"/>
        </w:rPr>
        <w:t>beforehand</w:t>
      </w:r>
      <w:r>
        <w:rPr>
          <w:rFonts w:eastAsiaTheme="minorEastAsia"/>
          <w:b/>
          <w:bCs/>
          <w:lang w:eastAsia="zh-CN"/>
        </w:rPr>
        <w:t>.</w:t>
      </w:r>
    </w:p>
    <w:p>
      <w:pPr>
        <w:pStyle w:val="58"/>
        <w:spacing w:after="0"/>
        <w:ind w:left="0" w:firstLine="0"/>
        <w:rPr>
          <w:rFonts w:eastAsiaTheme="minorEastAsia"/>
          <w:b/>
          <w:bCs/>
          <w:lang w:eastAsia="zh-CN"/>
        </w:rPr>
      </w:pPr>
      <w:r>
        <w:rPr>
          <w:rFonts w:eastAsiaTheme="minorEastAsia"/>
          <w:b/>
          <w:bCs/>
          <w:lang w:eastAsia="zh-CN"/>
        </w:rPr>
        <w:t>Proposal 4: To ensure seamless handover, the source gNB needs to pre-evaluate the HO timing to transmit all the information of UE to the target gNB in advance.</w:t>
      </w:r>
    </w:p>
    <w:p>
      <w:pPr>
        <w:pStyle w:val="2"/>
        <w:rPr>
          <w:rFonts w:cs="Arial"/>
          <w:sz w:val="20"/>
          <w:szCs w:val="20"/>
        </w:rPr>
      </w:pPr>
      <w:r>
        <w:rPr>
          <w:rFonts w:cs="Arial"/>
          <w:sz w:val="20"/>
          <w:szCs w:val="20"/>
        </w:rPr>
        <w:t>Reference</w:t>
      </w:r>
    </w:p>
    <w:p>
      <w:pPr>
        <w:pStyle w:val="27"/>
        <w:overflowPunct/>
        <w:autoSpaceDE/>
        <w:autoSpaceDN/>
        <w:adjustRightInd/>
        <w:spacing w:beforeLines="50" w:after="0"/>
        <w:jc w:val="left"/>
        <w:textAlignment w:val="auto"/>
        <w:rPr>
          <w:rFonts w:cs="Arial" w:eastAsiaTheme="minorEastAsia"/>
          <w:bCs/>
        </w:rPr>
      </w:pPr>
      <w:bookmarkStart w:id="2" w:name="_In-sequence_SDU_delivery"/>
      <w:bookmarkEnd w:id="2"/>
      <w:r>
        <w:rPr>
          <w:rFonts w:eastAsia="宋体"/>
        </w:rPr>
        <w:t xml:space="preserve">[1] </w:t>
      </w:r>
      <w:r>
        <w:rPr>
          <w:rFonts w:eastAsia="宋体" w:cs="Arial"/>
        </w:rPr>
        <w:t>R2-2111292</w:t>
      </w:r>
      <w:r>
        <w:rPr>
          <w:rFonts w:hint="eastAsia" w:eastAsiaTheme="minorEastAsia"/>
          <w:lang w:val="en-GB"/>
        </w:rPr>
        <w:t xml:space="preserve"> </w:t>
      </w:r>
      <w:r>
        <w:rPr>
          <w:rFonts w:cs="Arial"/>
          <w:bCs/>
        </w:rPr>
        <w:t>Report from Break-out session on R17 NTN, REDCAP and CE</w:t>
      </w:r>
    </w:p>
    <w:p>
      <w:pPr>
        <w:pStyle w:val="27"/>
        <w:overflowPunct/>
        <w:autoSpaceDE/>
        <w:autoSpaceDN/>
        <w:adjustRightInd/>
        <w:spacing w:beforeLines="50"/>
        <w:textAlignment w:val="auto"/>
        <w:rPr>
          <w:rFonts w:eastAsia="宋体"/>
        </w:rPr>
      </w:pPr>
    </w:p>
    <w:p>
      <w:pPr>
        <w:pStyle w:val="27"/>
        <w:overflowPunct/>
        <w:autoSpaceDE/>
        <w:autoSpaceDN/>
        <w:adjustRightInd/>
        <w:spacing w:beforeLines="50"/>
        <w:textAlignment w:val="auto"/>
        <w:rPr>
          <w:rFonts w:eastAsia="宋体"/>
        </w:rPr>
      </w:pPr>
    </w:p>
    <w:sectPr>
      <w:footerReference r:id="rId5" w:type="default"/>
      <w:headerReference r:id="rId4"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1</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D2A2769"/>
    <w:multiLevelType w:val="multilevel"/>
    <w:tmpl w:val="0D2A2769"/>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1E4905D3"/>
    <w:multiLevelType w:val="multilevel"/>
    <w:tmpl w:val="1E4905D3"/>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0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1EC3EE8"/>
    <w:multiLevelType w:val="multilevel"/>
    <w:tmpl w:val="71EC3EE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0"/>
  </w:num>
  <w:num w:numId="2">
    <w:abstractNumId w:val="4"/>
  </w:num>
  <w:num w:numId="3">
    <w:abstractNumId w:val="10"/>
  </w:num>
  <w:num w:numId="4">
    <w:abstractNumId w:val="7"/>
  </w:num>
  <w:num w:numId="5">
    <w:abstractNumId w:val="3"/>
  </w:num>
  <w:num w:numId="6">
    <w:abstractNumId w:val="6"/>
  </w:num>
  <w:num w:numId="7">
    <w:abstractNumId w:val="8"/>
  </w:num>
  <w:num w:numId="8">
    <w:abstractNumId w:val="5"/>
  </w:num>
  <w:num w:numId="9">
    <w:abstractNumId w:val="9"/>
  </w:num>
  <w:num w:numId="10">
    <w:abstractNumId w:val="11"/>
  </w:num>
  <w:num w:numId="11">
    <w:abstractNumId w:val="2"/>
  </w:num>
  <w:num w:numId="12">
    <w:abstractNumId w:val="1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4A1"/>
    <w:rsid w:val="00013E41"/>
    <w:rsid w:val="000151AE"/>
    <w:rsid w:val="00015AB5"/>
    <w:rsid w:val="00015D15"/>
    <w:rsid w:val="00015E3C"/>
    <w:rsid w:val="000179B1"/>
    <w:rsid w:val="00017E3B"/>
    <w:rsid w:val="0002161D"/>
    <w:rsid w:val="000217A0"/>
    <w:rsid w:val="00023308"/>
    <w:rsid w:val="0002380C"/>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13E0"/>
    <w:rsid w:val="000422E2"/>
    <w:rsid w:val="00042F22"/>
    <w:rsid w:val="000435BC"/>
    <w:rsid w:val="000438D0"/>
    <w:rsid w:val="000444EF"/>
    <w:rsid w:val="00044C53"/>
    <w:rsid w:val="00047D7D"/>
    <w:rsid w:val="00051553"/>
    <w:rsid w:val="00052A07"/>
    <w:rsid w:val="000534E3"/>
    <w:rsid w:val="000548B0"/>
    <w:rsid w:val="0005606A"/>
    <w:rsid w:val="00057117"/>
    <w:rsid w:val="0005786E"/>
    <w:rsid w:val="00060501"/>
    <w:rsid w:val="000616E7"/>
    <w:rsid w:val="00061E9E"/>
    <w:rsid w:val="0006487E"/>
    <w:rsid w:val="00065417"/>
    <w:rsid w:val="00065583"/>
    <w:rsid w:val="00065E1A"/>
    <w:rsid w:val="00073A7A"/>
    <w:rsid w:val="000753EE"/>
    <w:rsid w:val="00075487"/>
    <w:rsid w:val="00075A05"/>
    <w:rsid w:val="000768B1"/>
    <w:rsid w:val="00077E5F"/>
    <w:rsid w:val="0008036A"/>
    <w:rsid w:val="00081AE6"/>
    <w:rsid w:val="00082A75"/>
    <w:rsid w:val="00082E06"/>
    <w:rsid w:val="000855EB"/>
    <w:rsid w:val="000857D4"/>
    <w:rsid w:val="00085B52"/>
    <w:rsid w:val="00085FA7"/>
    <w:rsid w:val="000866F2"/>
    <w:rsid w:val="00087765"/>
    <w:rsid w:val="0009009F"/>
    <w:rsid w:val="00091557"/>
    <w:rsid w:val="000915A6"/>
    <w:rsid w:val="00091834"/>
    <w:rsid w:val="00091AEA"/>
    <w:rsid w:val="000921AA"/>
    <w:rsid w:val="000924C1"/>
    <w:rsid w:val="000924F0"/>
    <w:rsid w:val="00093474"/>
    <w:rsid w:val="00093D57"/>
    <w:rsid w:val="0009510F"/>
    <w:rsid w:val="000968DD"/>
    <w:rsid w:val="000A0069"/>
    <w:rsid w:val="000A1B7B"/>
    <w:rsid w:val="000A1E8D"/>
    <w:rsid w:val="000A4A7E"/>
    <w:rsid w:val="000A53D5"/>
    <w:rsid w:val="000A56F2"/>
    <w:rsid w:val="000A577A"/>
    <w:rsid w:val="000A5821"/>
    <w:rsid w:val="000A5980"/>
    <w:rsid w:val="000A598E"/>
    <w:rsid w:val="000A68FF"/>
    <w:rsid w:val="000A747F"/>
    <w:rsid w:val="000A7BEC"/>
    <w:rsid w:val="000B03D0"/>
    <w:rsid w:val="000B0762"/>
    <w:rsid w:val="000B21CA"/>
    <w:rsid w:val="000B2719"/>
    <w:rsid w:val="000B33FA"/>
    <w:rsid w:val="000B3772"/>
    <w:rsid w:val="000B3A8F"/>
    <w:rsid w:val="000B3EA4"/>
    <w:rsid w:val="000B4AB9"/>
    <w:rsid w:val="000B58C3"/>
    <w:rsid w:val="000B61E9"/>
    <w:rsid w:val="000C0E3A"/>
    <w:rsid w:val="000C165A"/>
    <w:rsid w:val="000C22CA"/>
    <w:rsid w:val="000C2AB6"/>
    <w:rsid w:val="000C2E19"/>
    <w:rsid w:val="000C381B"/>
    <w:rsid w:val="000C38F3"/>
    <w:rsid w:val="000C3D20"/>
    <w:rsid w:val="000C4DA4"/>
    <w:rsid w:val="000C76B7"/>
    <w:rsid w:val="000C7D2F"/>
    <w:rsid w:val="000D0D07"/>
    <w:rsid w:val="000D1622"/>
    <w:rsid w:val="000D2CF6"/>
    <w:rsid w:val="000D40DB"/>
    <w:rsid w:val="000D4797"/>
    <w:rsid w:val="000D6413"/>
    <w:rsid w:val="000D6C1F"/>
    <w:rsid w:val="000D7B3F"/>
    <w:rsid w:val="000E0527"/>
    <w:rsid w:val="000E1E92"/>
    <w:rsid w:val="000E206C"/>
    <w:rsid w:val="000E3538"/>
    <w:rsid w:val="000E40DF"/>
    <w:rsid w:val="000E52CE"/>
    <w:rsid w:val="000E65E5"/>
    <w:rsid w:val="000E6ECE"/>
    <w:rsid w:val="000F06D6"/>
    <w:rsid w:val="000F0EB1"/>
    <w:rsid w:val="000F1106"/>
    <w:rsid w:val="000F14BB"/>
    <w:rsid w:val="000F1543"/>
    <w:rsid w:val="000F3BE9"/>
    <w:rsid w:val="000F3F6C"/>
    <w:rsid w:val="000F4F9E"/>
    <w:rsid w:val="000F53E5"/>
    <w:rsid w:val="000F5687"/>
    <w:rsid w:val="000F5867"/>
    <w:rsid w:val="000F6DF3"/>
    <w:rsid w:val="0010042E"/>
    <w:rsid w:val="001005FF"/>
    <w:rsid w:val="00100A0A"/>
    <w:rsid w:val="00100B00"/>
    <w:rsid w:val="00101E5E"/>
    <w:rsid w:val="00102312"/>
    <w:rsid w:val="001030FB"/>
    <w:rsid w:val="00103841"/>
    <w:rsid w:val="00104710"/>
    <w:rsid w:val="00104A02"/>
    <w:rsid w:val="00104AA5"/>
    <w:rsid w:val="00105E96"/>
    <w:rsid w:val="001062FB"/>
    <w:rsid w:val="001063E6"/>
    <w:rsid w:val="00110FCA"/>
    <w:rsid w:val="0011208B"/>
    <w:rsid w:val="00113429"/>
    <w:rsid w:val="00113CF4"/>
    <w:rsid w:val="001153EA"/>
    <w:rsid w:val="00115643"/>
    <w:rsid w:val="0011566A"/>
    <w:rsid w:val="00115BB5"/>
    <w:rsid w:val="00116765"/>
    <w:rsid w:val="00116983"/>
    <w:rsid w:val="00116B1B"/>
    <w:rsid w:val="001177E6"/>
    <w:rsid w:val="001219F5"/>
    <w:rsid w:val="00121A20"/>
    <w:rsid w:val="00121ED4"/>
    <w:rsid w:val="00122897"/>
    <w:rsid w:val="00123361"/>
    <w:rsid w:val="0012377F"/>
    <w:rsid w:val="00123D18"/>
    <w:rsid w:val="00124314"/>
    <w:rsid w:val="00125AEE"/>
    <w:rsid w:val="00126B4A"/>
    <w:rsid w:val="001316E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1634"/>
    <w:rsid w:val="00151C6F"/>
    <w:rsid w:val="00151E23"/>
    <w:rsid w:val="001526E0"/>
    <w:rsid w:val="00152E87"/>
    <w:rsid w:val="00154D00"/>
    <w:rsid w:val="00154E3C"/>
    <w:rsid w:val="001551B5"/>
    <w:rsid w:val="00155296"/>
    <w:rsid w:val="001552D9"/>
    <w:rsid w:val="00155A1B"/>
    <w:rsid w:val="00156C4C"/>
    <w:rsid w:val="00161E2A"/>
    <w:rsid w:val="00162FE4"/>
    <w:rsid w:val="001630E5"/>
    <w:rsid w:val="00163F60"/>
    <w:rsid w:val="001657E5"/>
    <w:rsid w:val="001659C1"/>
    <w:rsid w:val="00166742"/>
    <w:rsid w:val="00166F02"/>
    <w:rsid w:val="0017105C"/>
    <w:rsid w:val="001710F5"/>
    <w:rsid w:val="001727B5"/>
    <w:rsid w:val="0017342D"/>
    <w:rsid w:val="0017350A"/>
    <w:rsid w:val="00173A8E"/>
    <w:rsid w:val="001741A3"/>
    <w:rsid w:val="00175C01"/>
    <w:rsid w:val="00176A77"/>
    <w:rsid w:val="00177142"/>
    <w:rsid w:val="00177795"/>
    <w:rsid w:val="00177ECF"/>
    <w:rsid w:val="0018143F"/>
    <w:rsid w:val="00181B1E"/>
    <w:rsid w:val="001837F8"/>
    <w:rsid w:val="001838EB"/>
    <w:rsid w:val="00183E13"/>
    <w:rsid w:val="00185A04"/>
    <w:rsid w:val="00187069"/>
    <w:rsid w:val="00190AC1"/>
    <w:rsid w:val="0019341A"/>
    <w:rsid w:val="00194501"/>
    <w:rsid w:val="00194686"/>
    <w:rsid w:val="00194B30"/>
    <w:rsid w:val="001967CA"/>
    <w:rsid w:val="00197AFB"/>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219"/>
    <w:rsid w:val="001B5A5D"/>
    <w:rsid w:val="001B7B45"/>
    <w:rsid w:val="001C13BD"/>
    <w:rsid w:val="001C1CE5"/>
    <w:rsid w:val="001C2CE1"/>
    <w:rsid w:val="001C3059"/>
    <w:rsid w:val="001C3D2A"/>
    <w:rsid w:val="001C62FC"/>
    <w:rsid w:val="001C7A37"/>
    <w:rsid w:val="001D05CD"/>
    <w:rsid w:val="001D092D"/>
    <w:rsid w:val="001D0B8E"/>
    <w:rsid w:val="001D1802"/>
    <w:rsid w:val="001D2628"/>
    <w:rsid w:val="001D2A95"/>
    <w:rsid w:val="001D2D6E"/>
    <w:rsid w:val="001D37C4"/>
    <w:rsid w:val="001D3F53"/>
    <w:rsid w:val="001D4779"/>
    <w:rsid w:val="001D48BC"/>
    <w:rsid w:val="001D4F78"/>
    <w:rsid w:val="001D5016"/>
    <w:rsid w:val="001D51BA"/>
    <w:rsid w:val="001D5584"/>
    <w:rsid w:val="001D55DB"/>
    <w:rsid w:val="001D5C9C"/>
    <w:rsid w:val="001D5DA4"/>
    <w:rsid w:val="001D6342"/>
    <w:rsid w:val="001D6D53"/>
    <w:rsid w:val="001D7B56"/>
    <w:rsid w:val="001E136F"/>
    <w:rsid w:val="001E2872"/>
    <w:rsid w:val="001E2F49"/>
    <w:rsid w:val="001E4084"/>
    <w:rsid w:val="001E40EB"/>
    <w:rsid w:val="001E58E2"/>
    <w:rsid w:val="001E5CD4"/>
    <w:rsid w:val="001E5F81"/>
    <w:rsid w:val="001E64EA"/>
    <w:rsid w:val="001E6C95"/>
    <w:rsid w:val="001E7AED"/>
    <w:rsid w:val="001F1232"/>
    <w:rsid w:val="001F1BF5"/>
    <w:rsid w:val="001F2779"/>
    <w:rsid w:val="001F2C5D"/>
    <w:rsid w:val="001F307E"/>
    <w:rsid w:val="001F3916"/>
    <w:rsid w:val="001F48C6"/>
    <w:rsid w:val="001F54C5"/>
    <w:rsid w:val="001F5F7A"/>
    <w:rsid w:val="001F662C"/>
    <w:rsid w:val="001F7074"/>
    <w:rsid w:val="001F7A52"/>
    <w:rsid w:val="001F7DB4"/>
    <w:rsid w:val="00200490"/>
    <w:rsid w:val="00200D60"/>
    <w:rsid w:val="00200DA2"/>
    <w:rsid w:val="00201F3A"/>
    <w:rsid w:val="0020332E"/>
    <w:rsid w:val="00203F96"/>
    <w:rsid w:val="00204EB9"/>
    <w:rsid w:val="002056EB"/>
    <w:rsid w:val="002069B2"/>
    <w:rsid w:val="00207FA3"/>
    <w:rsid w:val="00210356"/>
    <w:rsid w:val="00210489"/>
    <w:rsid w:val="00210D52"/>
    <w:rsid w:val="00214022"/>
    <w:rsid w:val="00214DA8"/>
    <w:rsid w:val="00215423"/>
    <w:rsid w:val="002158FA"/>
    <w:rsid w:val="00216692"/>
    <w:rsid w:val="00220600"/>
    <w:rsid w:val="00220C63"/>
    <w:rsid w:val="00221801"/>
    <w:rsid w:val="002219EA"/>
    <w:rsid w:val="002224DB"/>
    <w:rsid w:val="00222C4E"/>
    <w:rsid w:val="00222D3D"/>
    <w:rsid w:val="00222E3E"/>
    <w:rsid w:val="00223FCB"/>
    <w:rsid w:val="00224C3C"/>
    <w:rsid w:val="002252C3"/>
    <w:rsid w:val="002253AB"/>
    <w:rsid w:val="0022544E"/>
    <w:rsid w:val="00225C54"/>
    <w:rsid w:val="00226A7C"/>
    <w:rsid w:val="00230765"/>
    <w:rsid w:val="00230F8D"/>
    <w:rsid w:val="002319E4"/>
    <w:rsid w:val="002326C1"/>
    <w:rsid w:val="00232D85"/>
    <w:rsid w:val="00235632"/>
    <w:rsid w:val="00235872"/>
    <w:rsid w:val="002377EC"/>
    <w:rsid w:val="002378F5"/>
    <w:rsid w:val="002403E8"/>
    <w:rsid w:val="00241559"/>
    <w:rsid w:val="002431B1"/>
    <w:rsid w:val="002435B3"/>
    <w:rsid w:val="00243D14"/>
    <w:rsid w:val="00243D39"/>
    <w:rsid w:val="002451C4"/>
    <w:rsid w:val="002458EB"/>
    <w:rsid w:val="00246E44"/>
    <w:rsid w:val="002500C8"/>
    <w:rsid w:val="002518B2"/>
    <w:rsid w:val="00252C28"/>
    <w:rsid w:val="00253941"/>
    <w:rsid w:val="00253AF0"/>
    <w:rsid w:val="002540F4"/>
    <w:rsid w:val="002542D8"/>
    <w:rsid w:val="00255B9D"/>
    <w:rsid w:val="00256492"/>
    <w:rsid w:val="00257543"/>
    <w:rsid w:val="0025797A"/>
    <w:rsid w:val="00261062"/>
    <w:rsid w:val="002617E7"/>
    <w:rsid w:val="0026254C"/>
    <w:rsid w:val="00263871"/>
    <w:rsid w:val="00263CA0"/>
    <w:rsid w:val="002641C1"/>
    <w:rsid w:val="00264228"/>
    <w:rsid w:val="00264334"/>
    <w:rsid w:val="00264418"/>
    <w:rsid w:val="0026473E"/>
    <w:rsid w:val="00266214"/>
    <w:rsid w:val="00266497"/>
    <w:rsid w:val="002672B3"/>
    <w:rsid w:val="00267C83"/>
    <w:rsid w:val="002712C6"/>
    <w:rsid w:val="0027144F"/>
    <w:rsid w:val="00271F3A"/>
    <w:rsid w:val="00272E60"/>
    <w:rsid w:val="00273278"/>
    <w:rsid w:val="002737F4"/>
    <w:rsid w:val="00274CF9"/>
    <w:rsid w:val="00275DFB"/>
    <w:rsid w:val="00275F1A"/>
    <w:rsid w:val="00276422"/>
    <w:rsid w:val="00276D1B"/>
    <w:rsid w:val="00277671"/>
    <w:rsid w:val="002776FE"/>
    <w:rsid w:val="002805F5"/>
    <w:rsid w:val="00280751"/>
    <w:rsid w:val="00280D9D"/>
    <w:rsid w:val="0028280A"/>
    <w:rsid w:val="00282CCE"/>
    <w:rsid w:val="00283E47"/>
    <w:rsid w:val="0028463A"/>
    <w:rsid w:val="00284F28"/>
    <w:rsid w:val="00285658"/>
    <w:rsid w:val="00286ACD"/>
    <w:rsid w:val="00287838"/>
    <w:rsid w:val="002878B2"/>
    <w:rsid w:val="002905E9"/>
    <w:rsid w:val="002907B5"/>
    <w:rsid w:val="0029261E"/>
    <w:rsid w:val="00292BA2"/>
    <w:rsid w:val="00292C35"/>
    <w:rsid w:val="00292E17"/>
    <w:rsid w:val="00292EB7"/>
    <w:rsid w:val="00293835"/>
    <w:rsid w:val="00294DB4"/>
    <w:rsid w:val="00294F63"/>
    <w:rsid w:val="00295223"/>
    <w:rsid w:val="002952D6"/>
    <w:rsid w:val="00296227"/>
    <w:rsid w:val="00296734"/>
    <w:rsid w:val="00296CFF"/>
    <w:rsid w:val="00296F44"/>
    <w:rsid w:val="002971AF"/>
    <w:rsid w:val="0029777D"/>
    <w:rsid w:val="002A055E"/>
    <w:rsid w:val="002A1D4E"/>
    <w:rsid w:val="002A2869"/>
    <w:rsid w:val="002A3352"/>
    <w:rsid w:val="002A5C73"/>
    <w:rsid w:val="002A66D2"/>
    <w:rsid w:val="002A7309"/>
    <w:rsid w:val="002A741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773"/>
    <w:rsid w:val="002C71CD"/>
    <w:rsid w:val="002C7C99"/>
    <w:rsid w:val="002D071A"/>
    <w:rsid w:val="002D0A6F"/>
    <w:rsid w:val="002D0C4B"/>
    <w:rsid w:val="002D0C7B"/>
    <w:rsid w:val="002D1F8C"/>
    <w:rsid w:val="002D34B2"/>
    <w:rsid w:val="002D559A"/>
    <w:rsid w:val="002D71DE"/>
    <w:rsid w:val="002D7637"/>
    <w:rsid w:val="002D7BDC"/>
    <w:rsid w:val="002E01DA"/>
    <w:rsid w:val="002E08A7"/>
    <w:rsid w:val="002E11A6"/>
    <w:rsid w:val="002E17F2"/>
    <w:rsid w:val="002E1F3B"/>
    <w:rsid w:val="002E2679"/>
    <w:rsid w:val="002E3735"/>
    <w:rsid w:val="002E3EA2"/>
    <w:rsid w:val="002E5C7A"/>
    <w:rsid w:val="002E7CAE"/>
    <w:rsid w:val="002F00F5"/>
    <w:rsid w:val="002F2533"/>
    <w:rsid w:val="002F2674"/>
    <w:rsid w:val="002F2771"/>
    <w:rsid w:val="002F36E2"/>
    <w:rsid w:val="002F37A9"/>
    <w:rsid w:val="002F44AC"/>
    <w:rsid w:val="002F4866"/>
    <w:rsid w:val="002F5789"/>
    <w:rsid w:val="002F6C2F"/>
    <w:rsid w:val="00301144"/>
    <w:rsid w:val="00301612"/>
    <w:rsid w:val="00301CE6"/>
    <w:rsid w:val="0030256B"/>
    <w:rsid w:val="00304B98"/>
    <w:rsid w:val="00304FFC"/>
    <w:rsid w:val="0030501F"/>
    <w:rsid w:val="003056E7"/>
    <w:rsid w:val="003071CA"/>
    <w:rsid w:val="00307206"/>
    <w:rsid w:val="00307220"/>
    <w:rsid w:val="003075AC"/>
    <w:rsid w:val="00307BA1"/>
    <w:rsid w:val="00310268"/>
    <w:rsid w:val="00310A7A"/>
    <w:rsid w:val="00311702"/>
    <w:rsid w:val="00311804"/>
    <w:rsid w:val="00311E82"/>
    <w:rsid w:val="00311EC9"/>
    <w:rsid w:val="00312C72"/>
    <w:rsid w:val="00313FD6"/>
    <w:rsid w:val="003143BD"/>
    <w:rsid w:val="00314C6F"/>
    <w:rsid w:val="0031765D"/>
    <w:rsid w:val="003179C0"/>
    <w:rsid w:val="00317A53"/>
    <w:rsid w:val="00317AC1"/>
    <w:rsid w:val="003203ED"/>
    <w:rsid w:val="00321E95"/>
    <w:rsid w:val="00322516"/>
    <w:rsid w:val="00322C9F"/>
    <w:rsid w:val="003232D7"/>
    <w:rsid w:val="00324D23"/>
    <w:rsid w:val="00326DD3"/>
    <w:rsid w:val="003304CA"/>
    <w:rsid w:val="00331751"/>
    <w:rsid w:val="00332752"/>
    <w:rsid w:val="00333764"/>
    <w:rsid w:val="00334579"/>
    <w:rsid w:val="00334850"/>
    <w:rsid w:val="00335858"/>
    <w:rsid w:val="00336BDA"/>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B31"/>
    <w:rsid w:val="00352D06"/>
    <w:rsid w:val="0035491B"/>
    <w:rsid w:val="00355FF7"/>
    <w:rsid w:val="00357380"/>
    <w:rsid w:val="003602D9"/>
    <w:rsid w:val="003604CE"/>
    <w:rsid w:val="00360F65"/>
    <w:rsid w:val="00361724"/>
    <w:rsid w:val="00363457"/>
    <w:rsid w:val="0036439C"/>
    <w:rsid w:val="00366795"/>
    <w:rsid w:val="00366AD5"/>
    <w:rsid w:val="0037097F"/>
    <w:rsid w:val="00370E47"/>
    <w:rsid w:val="00371118"/>
    <w:rsid w:val="003715AE"/>
    <w:rsid w:val="00371751"/>
    <w:rsid w:val="003742AC"/>
    <w:rsid w:val="00377CE1"/>
    <w:rsid w:val="003814F6"/>
    <w:rsid w:val="00384A79"/>
    <w:rsid w:val="00385A75"/>
    <w:rsid w:val="00385A92"/>
    <w:rsid w:val="00385BF0"/>
    <w:rsid w:val="0038733C"/>
    <w:rsid w:val="003900D3"/>
    <w:rsid w:val="003908B9"/>
    <w:rsid w:val="003910E9"/>
    <w:rsid w:val="003912C5"/>
    <w:rsid w:val="0039200A"/>
    <w:rsid w:val="00392DB9"/>
    <w:rsid w:val="003939FF"/>
    <w:rsid w:val="00394496"/>
    <w:rsid w:val="003944CB"/>
    <w:rsid w:val="00395CB6"/>
    <w:rsid w:val="003A0D9B"/>
    <w:rsid w:val="003A2223"/>
    <w:rsid w:val="003A26EB"/>
    <w:rsid w:val="003A2A0F"/>
    <w:rsid w:val="003A38BD"/>
    <w:rsid w:val="003A45A1"/>
    <w:rsid w:val="003A5B0A"/>
    <w:rsid w:val="003A6BAC"/>
    <w:rsid w:val="003A721A"/>
    <w:rsid w:val="003A7A13"/>
    <w:rsid w:val="003A7EF3"/>
    <w:rsid w:val="003B159C"/>
    <w:rsid w:val="003B27F5"/>
    <w:rsid w:val="003B341C"/>
    <w:rsid w:val="003B369F"/>
    <w:rsid w:val="003B36A3"/>
    <w:rsid w:val="003B3ED3"/>
    <w:rsid w:val="003B43C7"/>
    <w:rsid w:val="003B460B"/>
    <w:rsid w:val="003B50E0"/>
    <w:rsid w:val="003B7456"/>
    <w:rsid w:val="003B7FE5"/>
    <w:rsid w:val="003C11C8"/>
    <w:rsid w:val="003C2702"/>
    <w:rsid w:val="003C2AFD"/>
    <w:rsid w:val="003C36A9"/>
    <w:rsid w:val="003C45C7"/>
    <w:rsid w:val="003C4B39"/>
    <w:rsid w:val="003C5ACA"/>
    <w:rsid w:val="003C5F6C"/>
    <w:rsid w:val="003C7806"/>
    <w:rsid w:val="003D0995"/>
    <w:rsid w:val="003D109F"/>
    <w:rsid w:val="003D15CC"/>
    <w:rsid w:val="003D2478"/>
    <w:rsid w:val="003D2F93"/>
    <w:rsid w:val="003D3014"/>
    <w:rsid w:val="003D3C45"/>
    <w:rsid w:val="003D418E"/>
    <w:rsid w:val="003D473F"/>
    <w:rsid w:val="003D5B1F"/>
    <w:rsid w:val="003D5B24"/>
    <w:rsid w:val="003D684E"/>
    <w:rsid w:val="003D72A8"/>
    <w:rsid w:val="003D7890"/>
    <w:rsid w:val="003E0AE3"/>
    <w:rsid w:val="003E15FA"/>
    <w:rsid w:val="003E2633"/>
    <w:rsid w:val="003E3303"/>
    <w:rsid w:val="003E55E4"/>
    <w:rsid w:val="003E5EB9"/>
    <w:rsid w:val="003E74E3"/>
    <w:rsid w:val="003F05C7"/>
    <w:rsid w:val="003F2CD4"/>
    <w:rsid w:val="003F2F25"/>
    <w:rsid w:val="003F2F5B"/>
    <w:rsid w:val="003F2F6E"/>
    <w:rsid w:val="003F5180"/>
    <w:rsid w:val="003F5588"/>
    <w:rsid w:val="003F5995"/>
    <w:rsid w:val="003F6357"/>
    <w:rsid w:val="003F6BBE"/>
    <w:rsid w:val="003F772D"/>
    <w:rsid w:val="003F77BD"/>
    <w:rsid w:val="003F7A4F"/>
    <w:rsid w:val="003F7B25"/>
    <w:rsid w:val="003F7B94"/>
    <w:rsid w:val="004000E8"/>
    <w:rsid w:val="00402E25"/>
    <w:rsid w:val="00402E2B"/>
    <w:rsid w:val="00403ED7"/>
    <w:rsid w:val="00404315"/>
    <w:rsid w:val="0040512B"/>
    <w:rsid w:val="0040526F"/>
    <w:rsid w:val="00405CA5"/>
    <w:rsid w:val="00407624"/>
    <w:rsid w:val="00407CD3"/>
    <w:rsid w:val="00410134"/>
    <w:rsid w:val="00410B72"/>
    <w:rsid w:val="00410F18"/>
    <w:rsid w:val="004115E5"/>
    <w:rsid w:val="0041263E"/>
    <w:rsid w:val="004132D7"/>
    <w:rsid w:val="00413AAC"/>
    <w:rsid w:val="00415C6B"/>
    <w:rsid w:val="004162BC"/>
    <w:rsid w:val="004170A7"/>
    <w:rsid w:val="004201BF"/>
    <w:rsid w:val="00420FEA"/>
    <w:rsid w:val="00421105"/>
    <w:rsid w:val="00422A16"/>
    <w:rsid w:val="004230DF"/>
    <w:rsid w:val="00423289"/>
    <w:rsid w:val="004239CF"/>
    <w:rsid w:val="004242F4"/>
    <w:rsid w:val="00427248"/>
    <w:rsid w:val="00427B11"/>
    <w:rsid w:val="00430722"/>
    <w:rsid w:val="00430A97"/>
    <w:rsid w:val="00430CED"/>
    <w:rsid w:val="00431368"/>
    <w:rsid w:val="00432CBB"/>
    <w:rsid w:val="0043450D"/>
    <w:rsid w:val="0043487D"/>
    <w:rsid w:val="0043494C"/>
    <w:rsid w:val="00436A59"/>
    <w:rsid w:val="00436C99"/>
    <w:rsid w:val="00437447"/>
    <w:rsid w:val="00437693"/>
    <w:rsid w:val="00440166"/>
    <w:rsid w:val="00441136"/>
    <w:rsid w:val="00441A04"/>
    <w:rsid w:val="00441A92"/>
    <w:rsid w:val="00442352"/>
    <w:rsid w:val="00443E0E"/>
    <w:rsid w:val="00444F56"/>
    <w:rsid w:val="00446119"/>
    <w:rsid w:val="00446488"/>
    <w:rsid w:val="00447C53"/>
    <w:rsid w:val="00450DFA"/>
    <w:rsid w:val="004517AA"/>
    <w:rsid w:val="004518BA"/>
    <w:rsid w:val="00452CAC"/>
    <w:rsid w:val="00454409"/>
    <w:rsid w:val="00457565"/>
    <w:rsid w:val="00457B71"/>
    <w:rsid w:val="00457C09"/>
    <w:rsid w:val="0046259C"/>
    <w:rsid w:val="00464A08"/>
    <w:rsid w:val="004657A0"/>
    <w:rsid w:val="004669E2"/>
    <w:rsid w:val="004679C1"/>
    <w:rsid w:val="004708E0"/>
    <w:rsid w:val="00470C31"/>
    <w:rsid w:val="0047201B"/>
    <w:rsid w:val="004727FA"/>
    <w:rsid w:val="004734D0"/>
    <w:rsid w:val="00473510"/>
    <w:rsid w:val="0047374F"/>
    <w:rsid w:val="004741F8"/>
    <w:rsid w:val="0047435A"/>
    <w:rsid w:val="0047556B"/>
    <w:rsid w:val="00477768"/>
    <w:rsid w:val="004822CE"/>
    <w:rsid w:val="00483A8C"/>
    <w:rsid w:val="0048427C"/>
    <w:rsid w:val="00484A8D"/>
    <w:rsid w:val="00484E4A"/>
    <w:rsid w:val="00485A43"/>
    <w:rsid w:val="00486065"/>
    <w:rsid w:val="0048669D"/>
    <w:rsid w:val="004873D9"/>
    <w:rsid w:val="004904F2"/>
    <w:rsid w:val="00490AFD"/>
    <w:rsid w:val="00490D0B"/>
    <w:rsid w:val="0049118B"/>
    <w:rsid w:val="00492BC5"/>
    <w:rsid w:val="00493761"/>
    <w:rsid w:val="00493AB1"/>
    <w:rsid w:val="00494F66"/>
    <w:rsid w:val="0049647C"/>
    <w:rsid w:val="004964F1"/>
    <w:rsid w:val="004A0525"/>
    <w:rsid w:val="004A058D"/>
    <w:rsid w:val="004A09D3"/>
    <w:rsid w:val="004A1182"/>
    <w:rsid w:val="004A16BC"/>
    <w:rsid w:val="004A20E9"/>
    <w:rsid w:val="004A2A65"/>
    <w:rsid w:val="004A2B94"/>
    <w:rsid w:val="004A3AB9"/>
    <w:rsid w:val="004A655D"/>
    <w:rsid w:val="004A6868"/>
    <w:rsid w:val="004B787B"/>
    <w:rsid w:val="004B7C0C"/>
    <w:rsid w:val="004C01C8"/>
    <w:rsid w:val="004C1338"/>
    <w:rsid w:val="004C1419"/>
    <w:rsid w:val="004C2DB9"/>
    <w:rsid w:val="004C3108"/>
    <w:rsid w:val="004C3898"/>
    <w:rsid w:val="004C4042"/>
    <w:rsid w:val="004C5621"/>
    <w:rsid w:val="004C5D43"/>
    <w:rsid w:val="004D0886"/>
    <w:rsid w:val="004D1B91"/>
    <w:rsid w:val="004D321B"/>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6F87"/>
    <w:rsid w:val="004E7052"/>
    <w:rsid w:val="004E76F4"/>
    <w:rsid w:val="004E7AFB"/>
    <w:rsid w:val="004E7FF2"/>
    <w:rsid w:val="004F0254"/>
    <w:rsid w:val="004F0B4E"/>
    <w:rsid w:val="004F0B6C"/>
    <w:rsid w:val="004F2078"/>
    <w:rsid w:val="004F26BF"/>
    <w:rsid w:val="004F3080"/>
    <w:rsid w:val="004F30D9"/>
    <w:rsid w:val="004F4C3A"/>
    <w:rsid w:val="004F4DA3"/>
    <w:rsid w:val="00500023"/>
    <w:rsid w:val="0050020C"/>
    <w:rsid w:val="00502A0C"/>
    <w:rsid w:val="00503F09"/>
    <w:rsid w:val="00504B01"/>
    <w:rsid w:val="00504C0A"/>
    <w:rsid w:val="00506557"/>
    <w:rsid w:val="0050677A"/>
    <w:rsid w:val="00506E4A"/>
    <w:rsid w:val="00507A57"/>
    <w:rsid w:val="005104B9"/>
    <w:rsid w:val="005108D8"/>
    <w:rsid w:val="005116F9"/>
    <w:rsid w:val="00512163"/>
    <w:rsid w:val="00513005"/>
    <w:rsid w:val="005138AF"/>
    <w:rsid w:val="005143B6"/>
    <w:rsid w:val="005146E1"/>
    <w:rsid w:val="00514A23"/>
    <w:rsid w:val="00514A3B"/>
    <w:rsid w:val="005153A7"/>
    <w:rsid w:val="00515E38"/>
    <w:rsid w:val="0052099E"/>
    <w:rsid w:val="00520FE9"/>
    <w:rsid w:val="005219CF"/>
    <w:rsid w:val="00521A8E"/>
    <w:rsid w:val="00521BCE"/>
    <w:rsid w:val="00522062"/>
    <w:rsid w:val="005222E4"/>
    <w:rsid w:val="005244FF"/>
    <w:rsid w:val="00524813"/>
    <w:rsid w:val="00524AD6"/>
    <w:rsid w:val="00524B5B"/>
    <w:rsid w:val="0052660D"/>
    <w:rsid w:val="005336BB"/>
    <w:rsid w:val="00533DBC"/>
    <w:rsid w:val="00533EA8"/>
    <w:rsid w:val="00534B59"/>
    <w:rsid w:val="0053627A"/>
    <w:rsid w:val="00536759"/>
    <w:rsid w:val="0053728B"/>
    <w:rsid w:val="00537C62"/>
    <w:rsid w:val="00543E2A"/>
    <w:rsid w:val="00544E2D"/>
    <w:rsid w:val="005455E8"/>
    <w:rsid w:val="00546970"/>
    <w:rsid w:val="00546DD9"/>
    <w:rsid w:val="005515A6"/>
    <w:rsid w:val="00552C30"/>
    <w:rsid w:val="00553B15"/>
    <w:rsid w:val="00554E19"/>
    <w:rsid w:val="00556337"/>
    <w:rsid w:val="005567D1"/>
    <w:rsid w:val="00556CA4"/>
    <w:rsid w:val="0056108C"/>
    <w:rsid w:val="0056121F"/>
    <w:rsid w:val="0056308D"/>
    <w:rsid w:val="00563BF7"/>
    <w:rsid w:val="0056447F"/>
    <w:rsid w:val="00564D1F"/>
    <w:rsid w:val="00566C37"/>
    <w:rsid w:val="00571B00"/>
    <w:rsid w:val="005722BC"/>
    <w:rsid w:val="00572505"/>
    <w:rsid w:val="00574A90"/>
    <w:rsid w:val="005754CA"/>
    <w:rsid w:val="00575D09"/>
    <w:rsid w:val="00575EA9"/>
    <w:rsid w:val="00577C78"/>
    <w:rsid w:val="00582809"/>
    <w:rsid w:val="00582C38"/>
    <w:rsid w:val="005843CF"/>
    <w:rsid w:val="0058798C"/>
    <w:rsid w:val="00587DAF"/>
    <w:rsid w:val="005900FA"/>
    <w:rsid w:val="00590F48"/>
    <w:rsid w:val="005924F7"/>
    <w:rsid w:val="005935A4"/>
    <w:rsid w:val="005948C2"/>
    <w:rsid w:val="00594911"/>
    <w:rsid w:val="00594BAB"/>
    <w:rsid w:val="005951F0"/>
    <w:rsid w:val="00595DCA"/>
    <w:rsid w:val="005960DB"/>
    <w:rsid w:val="00596897"/>
    <w:rsid w:val="00597455"/>
    <w:rsid w:val="0059779B"/>
    <w:rsid w:val="005A1693"/>
    <w:rsid w:val="005A1C1C"/>
    <w:rsid w:val="005A209A"/>
    <w:rsid w:val="005A2DA8"/>
    <w:rsid w:val="005A2E68"/>
    <w:rsid w:val="005A662D"/>
    <w:rsid w:val="005A6953"/>
    <w:rsid w:val="005B0FD3"/>
    <w:rsid w:val="005B1603"/>
    <w:rsid w:val="005B35D7"/>
    <w:rsid w:val="005B392A"/>
    <w:rsid w:val="005B39C6"/>
    <w:rsid w:val="005B3AA3"/>
    <w:rsid w:val="005B436F"/>
    <w:rsid w:val="005B591A"/>
    <w:rsid w:val="005B64FE"/>
    <w:rsid w:val="005B6C73"/>
    <w:rsid w:val="005B6E26"/>
    <w:rsid w:val="005B6F83"/>
    <w:rsid w:val="005B7117"/>
    <w:rsid w:val="005B7A5F"/>
    <w:rsid w:val="005C00E8"/>
    <w:rsid w:val="005C087A"/>
    <w:rsid w:val="005C3462"/>
    <w:rsid w:val="005C3B9A"/>
    <w:rsid w:val="005C48AA"/>
    <w:rsid w:val="005C5782"/>
    <w:rsid w:val="005C67B7"/>
    <w:rsid w:val="005C6885"/>
    <w:rsid w:val="005C74FB"/>
    <w:rsid w:val="005D14F1"/>
    <w:rsid w:val="005D1602"/>
    <w:rsid w:val="005D29C9"/>
    <w:rsid w:val="005D3FDD"/>
    <w:rsid w:val="005D5136"/>
    <w:rsid w:val="005D7501"/>
    <w:rsid w:val="005D77AF"/>
    <w:rsid w:val="005D7D33"/>
    <w:rsid w:val="005E03C7"/>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F57"/>
    <w:rsid w:val="00611327"/>
    <w:rsid w:val="0061141A"/>
    <w:rsid w:val="00611753"/>
    <w:rsid w:val="00611B83"/>
    <w:rsid w:val="00611BC8"/>
    <w:rsid w:val="0061226C"/>
    <w:rsid w:val="00613257"/>
    <w:rsid w:val="0061365E"/>
    <w:rsid w:val="00615DD3"/>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E82"/>
    <w:rsid w:val="0063551D"/>
    <w:rsid w:val="00635D97"/>
    <w:rsid w:val="00636398"/>
    <w:rsid w:val="006367A0"/>
    <w:rsid w:val="006368D3"/>
    <w:rsid w:val="006377EC"/>
    <w:rsid w:val="0064088E"/>
    <w:rsid w:val="00641311"/>
    <w:rsid w:val="0064151F"/>
    <w:rsid w:val="00641533"/>
    <w:rsid w:val="0064208D"/>
    <w:rsid w:val="00643475"/>
    <w:rsid w:val="00643854"/>
    <w:rsid w:val="0064396A"/>
    <w:rsid w:val="0064400D"/>
    <w:rsid w:val="0064624E"/>
    <w:rsid w:val="00646360"/>
    <w:rsid w:val="006466EA"/>
    <w:rsid w:val="0064701F"/>
    <w:rsid w:val="00647207"/>
    <w:rsid w:val="00647C6B"/>
    <w:rsid w:val="00650214"/>
    <w:rsid w:val="00650AB9"/>
    <w:rsid w:val="00650EF2"/>
    <w:rsid w:val="00651C5B"/>
    <w:rsid w:val="00652338"/>
    <w:rsid w:val="00652CA0"/>
    <w:rsid w:val="006530E5"/>
    <w:rsid w:val="00653D34"/>
    <w:rsid w:val="00655733"/>
    <w:rsid w:val="00655ACD"/>
    <w:rsid w:val="00656A92"/>
    <w:rsid w:val="00656DDE"/>
    <w:rsid w:val="00657C91"/>
    <w:rsid w:val="00657EDA"/>
    <w:rsid w:val="0066011D"/>
    <w:rsid w:val="006607C0"/>
    <w:rsid w:val="0066081F"/>
    <w:rsid w:val="006613A6"/>
    <w:rsid w:val="006627A2"/>
    <w:rsid w:val="006634E6"/>
    <w:rsid w:val="0066453B"/>
    <w:rsid w:val="006655EE"/>
    <w:rsid w:val="00665EE9"/>
    <w:rsid w:val="00667EE7"/>
    <w:rsid w:val="0067041E"/>
    <w:rsid w:val="00670922"/>
    <w:rsid w:val="00670BE1"/>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5B2"/>
    <w:rsid w:val="00683ECE"/>
    <w:rsid w:val="006844C2"/>
    <w:rsid w:val="0068475B"/>
    <w:rsid w:val="0068514A"/>
    <w:rsid w:val="00685790"/>
    <w:rsid w:val="00692A96"/>
    <w:rsid w:val="00695FC2"/>
    <w:rsid w:val="006961EA"/>
    <w:rsid w:val="00696949"/>
    <w:rsid w:val="00696CAF"/>
    <w:rsid w:val="00696F29"/>
    <w:rsid w:val="00697052"/>
    <w:rsid w:val="006A1192"/>
    <w:rsid w:val="006A173C"/>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6C9E"/>
    <w:rsid w:val="006B70F5"/>
    <w:rsid w:val="006C0314"/>
    <w:rsid w:val="006C03B8"/>
    <w:rsid w:val="006C136D"/>
    <w:rsid w:val="006C1D31"/>
    <w:rsid w:val="006C47AF"/>
    <w:rsid w:val="006C50C7"/>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46C"/>
    <w:rsid w:val="006F0824"/>
    <w:rsid w:val="006F0DC3"/>
    <w:rsid w:val="006F1364"/>
    <w:rsid w:val="006F1B70"/>
    <w:rsid w:val="006F2EF4"/>
    <w:rsid w:val="006F341D"/>
    <w:rsid w:val="006F3CDE"/>
    <w:rsid w:val="006F4E89"/>
    <w:rsid w:val="006F58D4"/>
    <w:rsid w:val="006F7D70"/>
    <w:rsid w:val="007002C4"/>
    <w:rsid w:val="00700909"/>
    <w:rsid w:val="00700965"/>
    <w:rsid w:val="00700EF5"/>
    <w:rsid w:val="00701692"/>
    <w:rsid w:val="00702ECC"/>
    <w:rsid w:val="00702FBD"/>
    <w:rsid w:val="0070346E"/>
    <w:rsid w:val="0070372B"/>
    <w:rsid w:val="00704071"/>
    <w:rsid w:val="00704EDB"/>
    <w:rsid w:val="00706101"/>
    <w:rsid w:val="00707072"/>
    <w:rsid w:val="007071C1"/>
    <w:rsid w:val="00707AA1"/>
    <w:rsid w:val="00707D61"/>
    <w:rsid w:val="00707F3B"/>
    <w:rsid w:val="00711DC7"/>
    <w:rsid w:val="00712287"/>
    <w:rsid w:val="00712499"/>
    <w:rsid w:val="00712772"/>
    <w:rsid w:val="007148D3"/>
    <w:rsid w:val="00714F46"/>
    <w:rsid w:val="00715058"/>
    <w:rsid w:val="00715B9A"/>
    <w:rsid w:val="00716521"/>
    <w:rsid w:val="00721009"/>
    <w:rsid w:val="007210E5"/>
    <w:rsid w:val="007214DF"/>
    <w:rsid w:val="00721CB4"/>
    <w:rsid w:val="00722F25"/>
    <w:rsid w:val="00724E89"/>
    <w:rsid w:val="00724E91"/>
    <w:rsid w:val="00726EA6"/>
    <w:rsid w:val="00727208"/>
    <w:rsid w:val="00727680"/>
    <w:rsid w:val="007318E6"/>
    <w:rsid w:val="00732F08"/>
    <w:rsid w:val="00732FD6"/>
    <w:rsid w:val="0073300A"/>
    <w:rsid w:val="0073394F"/>
    <w:rsid w:val="007348B1"/>
    <w:rsid w:val="00734A5E"/>
    <w:rsid w:val="00734C6C"/>
    <w:rsid w:val="00735561"/>
    <w:rsid w:val="00735DCC"/>
    <w:rsid w:val="007362A6"/>
    <w:rsid w:val="00736D7D"/>
    <w:rsid w:val="00737007"/>
    <w:rsid w:val="00740B20"/>
    <w:rsid w:val="00740E58"/>
    <w:rsid w:val="0074181C"/>
    <w:rsid w:val="00742333"/>
    <w:rsid w:val="007429D4"/>
    <w:rsid w:val="00742FCE"/>
    <w:rsid w:val="007430A1"/>
    <w:rsid w:val="00743B6A"/>
    <w:rsid w:val="007440AA"/>
    <w:rsid w:val="007441EE"/>
    <w:rsid w:val="007445A0"/>
    <w:rsid w:val="0074524B"/>
    <w:rsid w:val="00745BA2"/>
    <w:rsid w:val="007461FD"/>
    <w:rsid w:val="0074730D"/>
    <w:rsid w:val="00747D8B"/>
    <w:rsid w:val="0075059E"/>
    <w:rsid w:val="00750CE2"/>
    <w:rsid w:val="00751228"/>
    <w:rsid w:val="00753B1D"/>
    <w:rsid w:val="00754C22"/>
    <w:rsid w:val="0075701A"/>
    <w:rsid w:val="007571E1"/>
    <w:rsid w:val="00757BDE"/>
    <w:rsid w:val="00760487"/>
    <w:rsid w:val="007604B2"/>
    <w:rsid w:val="00765281"/>
    <w:rsid w:val="007654D0"/>
    <w:rsid w:val="00765885"/>
    <w:rsid w:val="00765AC8"/>
    <w:rsid w:val="00766B9A"/>
    <w:rsid w:val="00766BAD"/>
    <w:rsid w:val="00770303"/>
    <w:rsid w:val="00770622"/>
    <w:rsid w:val="007706AD"/>
    <w:rsid w:val="00770CC7"/>
    <w:rsid w:val="00770D23"/>
    <w:rsid w:val="00771353"/>
    <w:rsid w:val="00772E38"/>
    <w:rsid w:val="007730BD"/>
    <w:rsid w:val="007738D0"/>
    <w:rsid w:val="00773DF8"/>
    <w:rsid w:val="007743B3"/>
    <w:rsid w:val="007755F2"/>
    <w:rsid w:val="00776074"/>
    <w:rsid w:val="00776971"/>
    <w:rsid w:val="00777048"/>
    <w:rsid w:val="00781690"/>
    <w:rsid w:val="0078177E"/>
    <w:rsid w:val="00781931"/>
    <w:rsid w:val="00782977"/>
    <w:rsid w:val="0078304C"/>
    <w:rsid w:val="00783673"/>
    <w:rsid w:val="00784101"/>
    <w:rsid w:val="00784D9B"/>
    <w:rsid w:val="00785490"/>
    <w:rsid w:val="007870C4"/>
    <w:rsid w:val="007879E3"/>
    <w:rsid w:val="00791552"/>
    <w:rsid w:val="0079204F"/>
    <w:rsid w:val="007925EA"/>
    <w:rsid w:val="00793CD8"/>
    <w:rsid w:val="007941E9"/>
    <w:rsid w:val="0079421B"/>
    <w:rsid w:val="00794A3A"/>
    <w:rsid w:val="00794BD1"/>
    <w:rsid w:val="007954BD"/>
    <w:rsid w:val="00795C92"/>
    <w:rsid w:val="00796231"/>
    <w:rsid w:val="007977AB"/>
    <w:rsid w:val="007A1394"/>
    <w:rsid w:val="007A13B7"/>
    <w:rsid w:val="007A1CB3"/>
    <w:rsid w:val="007A25CD"/>
    <w:rsid w:val="007A2904"/>
    <w:rsid w:val="007A306F"/>
    <w:rsid w:val="007A31D8"/>
    <w:rsid w:val="007A3233"/>
    <w:rsid w:val="007A43A6"/>
    <w:rsid w:val="007A58A6"/>
    <w:rsid w:val="007A6D45"/>
    <w:rsid w:val="007B14FC"/>
    <w:rsid w:val="007B1AA8"/>
    <w:rsid w:val="007B2250"/>
    <w:rsid w:val="007B3D2D"/>
    <w:rsid w:val="007B50AE"/>
    <w:rsid w:val="007B51DF"/>
    <w:rsid w:val="007B5A48"/>
    <w:rsid w:val="007B6564"/>
    <w:rsid w:val="007B73FE"/>
    <w:rsid w:val="007B74EF"/>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413C"/>
    <w:rsid w:val="007D5901"/>
    <w:rsid w:val="007D7526"/>
    <w:rsid w:val="007D7C70"/>
    <w:rsid w:val="007D7CFD"/>
    <w:rsid w:val="007E028E"/>
    <w:rsid w:val="007E04A4"/>
    <w:rsid w:val="007E0764"/>
    <w:rsid w:val="007E2BBD"/>
    <w:rsid w:val="007E38A3"/>
    <w:rsid w:val="007E3A45"/>
    <w:rsid w:val="007E3CC4"/>
    <w:rsid w:val="007E3D22"/>
    <w:rsid w:val="007E4610"/>
    <w:rsid w:val="007E4715"/>
    <w:rsid w:val="007E505B"/>
    <w:rsid w:val="007E7091"/>
    <w:rsid w:val="007E717E"/>
    <w:rsid w:val="007E7A82"/>
    <w:rsid w:val="007F22DE"/>
    <w:rsid w:val="007F376F"/>
    <w:rsid w:val="007F3B3E"/>
    <w:rsid w:val="007F4CDC"/>
    <w:rsid w:val="007F4F62"/>
    <w:rsid w:val="008005B1"/>
    <w:rsid w:val="008020F8"/>
    <w:rsid w:val="00803FAE"/>
    <w:rsid w:val="0080605F"/>
    <w:rsid w:val="0080628D"/>
    <w:rsid w:val="00807786"/>
    <w:rsid w:val="00810C2F"/>
    <w:rsid w:val="008110FE"/>
    <w:rsid w:val="00811FCB"/>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911"/>
    <w:rsid w:val="00856CF4"/>
    <w:rsid w:val="00865A94"/>
    <w:rsid w:val="008677FD"/>
    <w:rsid w:val="00867EF2"/>
    <w:rsid w:val="00870097"/>
    <w:rsid w:val="008706D4"/>
    <w:rsid w:val="00870F8A"/>
    <w:rsid w:val="008719A4"/>
    <w:rsid w:val="00871D03"/>
    <w:rsid w:val="00871D23"/>
    <w:rsid w:val="0087241A"/>
    <w:rsid w:val="00874312"/>
    <w:rsid w:val="0087437C"/>
    <w:rsid w:val="00875C95"/>
    <w:rsid w:val="00875CD7"/>
    <w:rsid w:val="00876B4D"/>
    <w:rsid w:val="00877F18"/>
    <w:rsid w:val="00881C94"/>
    <w:rsid w:val="008838FD"/>
    <w:rsid w:val="008852FD"/>
    <w:rsid w:val="00885F17"/>
    <w:rsid w:val="0088638D"/>
    <w:rsid w:val="00887B9C"/>
    <w:rsid w:val="008915EB"/>
    <w:rsid w:val="00892604"/>
    <w:rsid w:val="0089391E"/>
    <w:rsid w:val="00894048"/>
    <w:rsid w:val="00894A88"/>
    <w:rsid w:val="00895386"/>
    <w:rsid w:val="008963EF"/>
    <w:rsid w:val="008A0CFE"/>
    <w:rsid w:val="008A143E"/>
    <w:rsid w:val="008A198A"/>
    <w:rsid w:val="008A21FF"/>
    <w:rsid w:val="008A2342"/>
    <w:rsid w:val="008A2CE2"/>
    <w:rsid w:val="008A30AC"/>
    <w:rsid w:val="008A3AFC"/>
    <w:rsid w:val="008A44B8"/>
    <w:rsid w:val="008A44CC"/>
    <w:rsid w:val="008A51A8"/>
    <w:rsid w:val="008A54C7"/>
    <w:rsid w:val="008A54DB"/>
    <w:rsid w:val="008A54F8"/>
    <w:rsid w:val="008A598B"/>
    <w:rsid w:val="008A6301"/>
    <w:rsid w:val="008A77D8"/>
    <w:rsid w:val="008A79F4"/>
    <w:rsid w:val="008A7A63"/>
    <w:rsid w:val="008A7DA4"/>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AE8"/>
    <w:rsid w:val="008C6FAB"/>
    <w:rsid w:val="008C7573"/>
    <w:rsid w:val="008D12A8"/>
    <w:rsid w:val="008D1352"/>
    <w:rsid w:val="008D1656"/>
    <w:rsid w:val="008D34F1"/>
    <w:rsid w:val="008D3565"/>
    <w:rsid w:val="008D3592"/>
    <w:rsid w:val="008D39D8"/>
    <w:rsid w:val="008D476E"/>
    <w:rsid w:val="008D5D15"/>
    <w:rsid w:val="008D6D1A"/>
    <w:rsid w:val="008E060E"/>
    <w:rsid w:val="008E065E"/>
    <w:rsid w:val="008E0927"/>
    <w:rsid w:val="008E16B2"/>
    <w:rsid w:val="008E1909"/>
    <w:rsid w:val="008E2F69"/>
    <w:rsid w:val="008E3A71"/>
    <w:rsid w:val="008E440E"/>
    <w:rsid w:val="008E4734"/>
    <w:rsid w:val="008E4B84"/>
    <w:rsid w:val="008E4CF6"/>
    <w:rsid w:val="008E6F2B"/>
    <w:rsid w:val="008F0102"/>
    <w:rsid w:val="008F0276"/>
    <w:rsid w:val="008F1EAB"/>
    <w:rsid w:val="008F21D4"/>
    <w:rsid w:val="008F2E26"/>
    <w:rsid w:val="008F33DC"/>
    <w:rsid w:val="008F477F"/>
    <w:rsid w:val="008F4940"/>
    <w:rsid w:val="008F4DA9"/>
    <w:rsid w:val="008F5CC1"/>
    <w:rsid w:val="008F6D95"/>
    <w:rsid w:val="008F74FD"/>
    <w:rsid w:val="00901262"/>
    <w:rsid w:val="009016FF"/>
    <w:rsid w:val="00902350"/>
    <w:rsid w:val="00902D07"/>
    <w:rsid w:val="0090336B"/>
    <w:rsid w:val="00903C53"/>
    <w:rsid w:val="009051E2"/>
    <w:rsid w:val="009053AA"/>
    <w:rsid w:val="00906939"/>
    <w:rsid w:val="009071BF"/>
    <w:rsid w:val="00910970"/>
    <w:rsid w:val="00910B7D"/>
    <w:rsid w:val="00911B46"/>
    <w:rsid w:val="00911DFB"/>
    <w:rsid w:val="009139D9"/>
    <w:rsid w:val="00913B71"/>
    <w:rsid w:val="00914AD8"/>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702E"/>
    <w:rsid w:val="0092730E"/>
    <w:rsid w:val="00927C57"/>
    <w:rsid w:val="00930659"/>
    <w:rsid w:val="00931BD9"/>
    <w:rsid w:val="00932689"/>
    <w:rsid w:val="00933FE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7"/>
    <w:rsid w:val="00950E93"/>
    <w:rsid w:val="0095314B"/>
    <w:rsid w:val="00953920"/>
    <w:rsid w:val="00953D47"/>
    <w:rsid w:val="00956377"/>
    <w:rsid w:val="0095681E"/>
    <w:rsid w:val="009572D4"/>
    <w:rsid w:val="0095795F"/>
    <w:rsid w:val="00961285"/>
    <w:rsid w:val="00961746"/>
    <w:rsid w:val="00961819"/>
    <w:rsid w:val="00961921"/>
    <w:rsid w:val="00961B7A"/>
    <w:rsid w:val="00961FC8"/>
    <w:rsid w:val="00963380"/>
    <w:rsid w:val="00963B0A"/>
    <w:rsid w:val="0096430A"/>
    <w:rsid w:val="00964895"/>
    <w:rsid w:val="00964B2C"/>
    <w:rsid w:val="0096554B"/>
    <w:rsid w:val="0096584A"/>
    <w:rsid w:val="0096787C"/>
    <w:rsid w:val="00971F08"/>
    <w:rsid w:val="0097304C"/>
    <w:rsid w:val="0097543C"/>
    <w:rsid w:val="0097603D"/>
    <w:rsid w:val="00976090"/>
    <w:rsid w:val="00976137"/>
    <w:rsid w:val="00976949"/>
    <w:rsid w:val="0097748F"/>
    <w:rsid w:val="00980477"/>
    <w:rsid w:val="00981005"/>
    <w:rsid w:val="009810F3"/>
    <w:rsid w:val="00981902"/>
    <w:rsid w:val="0098320A"/>
    <w:rsid w:val="00985253"/>
    <w:rsid w:val="009853B3"/>
    <w:rsid w:val="00985D94"/>
    <w:rsid w:val="00990630"/>
    <w:rsid w:val="00991761"/>
    <w:rsid w:val="00991785"/>
    <w:rsid w:val="00991CD3"/>
    <w:rsid w:val="00991D93"/>
    <w:rsid w:val="00994DCA"/>
    <w:rsid w:val="00995495"/>
    <w:rsid w:val="009960EC"/>
    <w:rsid w:val="009970DD"/>
    <w:rsid w:val="009A0087"/>
    <w:rsid w:val="009A0FBA"/>
    <w:rsid w:val="009A15CA"/>
    <w:rsid w:val="009A1601"/>
    <w:rsid w:val="009A462D"/>
    <w:rsid w:val="009A5CBA"/>
    <w:rsid w:val="009A75FB"/>
    <w:rsid w:val="009B09FA"/>
    <w:rsid w:val="009B1F30"/>
    <w:rsid w:val="009B2BB5"/>
    <w:rsid w:val="009B3AC2"/>
    <w:rsid w:val="009B4DF4"/>
    <w:rsid w:val="009B4EA5"/>
    <w:rsid w:val="009B4F07"/>
    <w:rsid w:val="009B50EF"/>
    <w:rsid w:val="009B564E"/>
    <w:rsid w:val="009B7D0C"/>
    <w:rsid w:val="009B7E87"/>
    <w:rsid w:val="009C1390"/>
    <w:rsid w:val="009C279B"/>
    <w:rsid w:val="009C325D"/>
    <w:rsid w:val="009C34C7"/>
    <w:rsid w:val="009C403E"/>
    <w:rsid w:val="009C4B03"/>
    <w:rsid w:val="009C540E"/>
    <w:rsid w:val="009C5554"/>
    <w:rsid w:val="009C5899"/>
    <w:rsid w:val="009C5B62"/>
    <w:rsid w:val="009C5BF3"/>
    <w:rsid w:val="009C69D1"/>
    <w:rsid w:val="009C7133"/>
    <w:rsid w:val="009C7278"/>
    <w:rsid w:val="009C7E7B"/>
    <w:rsid w:val="009D05F4"/>
    <w:rsid w:val="009D237D"/>
    <w:rsid w:val="009D4221"/>
    <w:rsid w:val="009D4D0A"/>
    <w:rsid w:val="009D4FF0"/>
    <w:rsid w:val="009D6128"/>
    <w:rsid w:val="009D650E"/>
    <w:rsid w:val="009D6AC5"/>
    <w:rsid w:val="009D703C"/>
    <w:rsid w:val="009D718F"/>
    <w:rsid w:val="009D7379"/>
    <w:rsid w:val="009E068F"/>
    <w:rsid w:val="009E0968"/>
    <w:rsid w:val="009E14E0"/>
    <w:rsid w:val="009E35DB"/>
    <w:rsid w:val="009E3C41"/>
    <w:rsid w:val="009E47A3"/>
    <w:rsid w:val="009E4E7D"/>
    <w:rsid w:val="009E70A7"/>
    <w:rsid w:val="009E7D1B"/>
    <w:rsid w:val="009F08F3"/>
    <w:rsid w:val="009F0C2E"/>
    <w:rsid w:val="009F2E53"/>
    <w:rsid w:val="009F30D1"/>
    <w:rsid w:val="009F344F"/>
    <w:rsid w:val="009F7FE2"/>
    <w:rsid w:val="00A000D9"/>
    <w:rsid w:val="00A01152"/>
    <w:rsid w:val="00A015BC"/>
    <w:rsid w:val="00A02E8A"/>
    <w:rsid w:val="00A040E6"/>
    <w:rsid w:val="00A048A8"/>
    <w:rsid w:val="00A04F49"/>
    <w:rsid w:val="00A0622E"/>
    <w:rsid w:val="00A06A38"/>
    <w:rsid w:val="00A07561"/>
    <w:rsid w:val="00A07C54"/>
    <w:rsid w:val="00A1117D"/>
    <w:rsid w:val="00A1143E"/>
    <w:rsid w:val="00A11EC3"/>
    <w:rsid w:val="00A1272E"/>
    <w:rsid w:val="00A137AA"/>
    <w:rsid w:val="00A13E54"/>
    <w:rsid w:val="00A1507B"/>
    <w:rsid w:val="00A15566"/>
    <w:rsid w:val="00A1606F"/>
    <w:rsid w:val="00A17E11"/>
    <w:rsid w:val="00A17F63"/>
    <w:rsid w:val="00A2052C"/>
    <w:rsid w:val="00A2193B"/>
    <w:rsid w:val="00A22F49"/>
    <w:rsid w:val="00A2351A"/>
    <w:rsid w:val="00A250E4"/>
    <w:rsid w:val="00A2525A"/>
    <w:rsid w:val="00A25D9E"/>
    <w:rsid w:val="00A25E7D"/>
    <w:rsid w:val="00A264A9"/>
    <w:rsid w:val="00A27785"/>
    <w:rsid w:val="00A30187"/>
    <w:rsid w:val="00A30B3C"/>
    <w:rsid w:val="00A3168E"/>
    <w:rsid w:val="00A3448A"/>
    <w:rsid w:val="00A348CB"/>
    <w:rsid w:val="00A352D4"/>
    <w:rsid w:val="00A36297"/>
    <w:rsid w:val="00A3655E"/>
    <w:rsid w:val="00A4125A"/>
    <w:rsid w:val="00A4154F"/>
    <w:rsid w:val="00A41E2B"/>
    <w:rsid w:val="00A438C2"/>
    <w:rsid w:val="00A45090"/>
    <w:rsid w:val="00A45347"/>
    <w:rsid w:val="00A45B74"/>
    <w:rsid w:val="00A46054"/>
    <w:rsid w:val="00A47508"/>
    <w:rsid w:val="00A5050B"/>
    <w:rsid w:val="00A50ABB"/>
    <w:rsid w:val="00A50CF3"/>
    <w:rsid w:val="00A519F1"/>
    <w:rsid w:val="00A5267E"/>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004B"/>
    <w:rsid w:val="00A71701"/>
    <w:rsid w:val="00A71B99"/>
    <w:rsid w:val="00A72090"/>
    <w:rsid w:val="00A7351D"/>
    <w:rsid w:val="00A739D0"/>
    <w:rsid w:val="00A761D4"/>
    <w:rsid w:val="00A76754"/>
    <w:rsid w:val="00A77EC4"/>
    <w:rsid w:val="00A814F0"/>
    <w:rsid w:val="00A82EB9"/>
    <w:rsid w:val="00A838D9"/>
    <w:rsid w:val="00A84BDF"/>
    <w:rsid w:val="00A850C0"/>
    <w:rsid w:val="00A86438"/>
    <w:rsid w:val="00A8799A"/>
    <w:rsid w:val="00A9241C"/>
    <w:rsid w:val="00A92879"/>
    <w:rsid w:val="00A92EF8"/>
    <w:rsid w:val="00A9442A"/>
    <w:rsid w:val="00A9540C"/>
    <w:rsid w:val="00A96653"/>
    <w:rsid w:val="00A97BD4"/>
    <w:rsid w:val="00A97FF6"/>
    <w:rsid w:val="00AA016F"/>
    <w:rsid w:val="00AA0488"/>
    <w:rsid w:val="00AA1B70"/>
    <w:rsid w:val="00AA1ED6"/>
    <w:rsid w:val="00AA35FB"/>
    <w:rsid w:val="00AA4F31"/>
    <w:rsid w:val="00AA51D6"/>
    <w:rsid w:val="00AA5701"/>
    <w:rsid w:val="00AA5A33"/>
    <w:rsid w:val="00AA611B"/>
    <w:rsid w:val="00AB0BC8"/>
    <w:rsid w:val="00AB0BEE"/>
    <w:rsid w:val="00AB11CA"/>
    <w:rsid w:val="00AB1364"/>
    <w:rsid w:val="00AB14D9"/>
    <w:rsid w:val="00AB2797"/>
    <w:rsid w:val="00AB2BC9"/>
    <w:rsid w:val="00AB3967"/>
    <w:rsid w:val="00AB3C21"/>
    <w:rsid w:val="00AB48B4"/>
    <w:rsid w:val="00AB4AB8"/>
    <w:rsid w:val="00AB610E"/>
    <w:rsid w:val="00AB655E"/>
    <w:rsid w:val="00AB6FBA"/>
    <w:rsid w:val="00AC007F"/>
    <w:rsid w:val="00AC1772"/>
    <w:rsid w:val="00AC2ECD"/>
    <w:rsid w:val="00AC2F6B"/>
    <w:rsid w:val="00AC3119"/>
    <w:rsid w:val="00AC37BF"/>
    <w:rsid w:val="00AC49FB"/>
    <w:rsid w:val="00AC58C9"/>
    <w:rsid w:val="00AC599C"/>
    <w:rsid w:val="00AC59F2"/>
    <w:rsid w:val="00AC5A10"/>
    <w:rsid w:val="00AC6043"/>
    <w:rsid w:val="00AD02A1"/>
    <w:rsid w:val="00AD0A4E"/>
    <w:rsid w:val="00AD0AA3"/>
    <w:rsid w:val="00AD0C40"/>
    <w:rsid w:val="00AD0FC3"/>
    <w:rsid w:val="00AD1063"/>
    <w:rsid w:val="00AD30CA"/>
    <w:rsid w:val="00AD3A0B"/>
    <w:rsid w:val="00AD3F94"/>
    <w:rsid w:val="00AD4A5A"/>
    <w:rsid w:val="00AE0074"/>
    <w:rsid w:val="00AE0608"/>
    <w:rsid w:val="00AE086B"/>
    <w:rsid w:val="00AE0C36"/>
    <w:rsid w:val="00AE0F75"/>
    <w:rsid w:val="00AE1CC9"/>
    <w:rsid w:val="00AE27AC"/>
    <w:rsid w:val="00AE2A30"/>
    <w:rsid w:val="00AE2B70"/>
    <w:rsid w:val="00AE2D72"/>
    <w:rsid w:val="00AE3743"/>
    <w:rsid w:val="00AE40E0"/>
    <w:rsid w:val="00AE4DBA"/>
    <w:rsid w:val="00AE4F07"/>
    <w:rsid w:val="00AE6F3D"/>
    <w:rsid w:val="00AE6FCB"/>
    <w:rsid w:val="00AF0F8A"/>
    <w:rsid w:val="00AF1C5D"/>
    <w:rsid w:val="00AF42D7"/>
    <w:rsid w:val="00AF4C08"/>
    <w:rsid w:val="00AF5B4D"/>
    <w:rsid w:val="00AF5D0F"/>
    <w:rsid w:val="00AF6282"/>
    <w:rsid w:val="00AF6AD0"/>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7FA"/>
    <w:rsid w:val="00B157F9"/>
    <w:rsid w:val="00B17523"/>
    <w:rsid w:val="00B17D6A"/>
    <w:rsid w:val="00B20256"/>
    <w:rsid w:val="00B20D09"/>
    <w:rsid w:val="00B229E8"/>
    <w:rsid w:val="00B25168"/>
    <w:rsid w:val="00B2544D"/>
    <w:rsid w:val="00B2723D"/>
    <w:rsid w:val="00B2763F"/>
    <w:rsid w:val="00B27AAC"/>
    <w:rsid w:val="00B300D9"/>
    <w:rsid w:val="00B30573"/>
    <w:rsid w:val="00B30929"/>
    <w:rsid w:val="00B32311"/>
    <w:rsid w:val="00B33ACB"/>
    <w:rsid w:val="00B34030"/>
    <w:rsid w:val="00B34996"/>
    <w:rsid w:val="00B36F70"/>
    <w:rsid w:val="00B37228"/>
    <w:rsid w:val="00B3729D"/>
    <w:rsid w:val="00B372AA"/>
    <w:rsid w:val="00B37B37"/>
    <w:rsid w:val="00B37D53"/>
    <w:rsid w:val="00B40445"/>
    <w:rsid w:val="00B414E8"/>
    <w:rsid w:val="00B41888"/>
    <w:rsid w:val="00B41A0E"/>
    <w:rsid w:val="00B427F6"/>
    <w:rsid w:val="00B42AB3"/>
    <w:rsid w:val="00B430D8"/>
    <w:rsid w:val="00B445D5"/>
    <w:rsid w:val="00B44A32"/>
    <w:rsid w:val="00B45A52"/>
    <w:rsid w:val="00B45CD5"/>
    <w:rsid w:val="00B46175"/>
    <w:rsid w:val="00B4671C"/>
    <w:rsid w:val="00B47B26"/>
    <w:rsid w:val="00B47FE5"/>
    <w:rsid w:val="00B500A1"/>
    <w:rsid w:val="00B50C00"/>
    <w:rsid w:val="00B51299"/>
    <w:rsid w:val="00B51C08"/>
    <w:rsid w:val="00B52E8D"/>
    <w:rsid w:val="00B548CC"/>
    <w:rsid w:val="00B54FE2"/>
    <w:rsid w:val="00B55B9D"/>
    <w:rsid w:val="00B57201"/>
    <w:rsid w:val="00B60042"/>
    <w:rsid w:val="00B60FC8"/>
    <w:rsid w:val="00B61365"/>
    <w:rsid w:val="00B6188F"/>
    <w:rsid w:val="00B640CF"/>
    <w:rsid w:val="00B64816"/>
    <w:rsid w:val="00B65A95"/>
    <w:rsid w:val="00B6628C"/>
    <w:rsid w:val="00B664C7"/>
    <w:rsid w:val="00B66AEE"/>
    <w:rsid w:val="00B703AC"/>
    <w:rsid w:val="00B7092C"/>
    <w:rsid w:val="00B70C49"/>
    <w:rsid w:val="00B714A9"/>
    <w:rsid w:val="00B717A6"/>
    <w:rsid w:val="00B71F0A"/>
    <w:rsid w:val="00B739F6"/>
    <w:rsid w:val="00B73F28"/>
    <w:rsid w:val="00B7430E"/>
    <w:rsid w:val="00B74664"/>
    <w:rsid w:val="00B7520F"/>
    <w:rsid w:val="00B7542D"/>
    <w:rsid w:val="00B77229"/>
    <w:rsid w:val="00B776A4"/>
    <w:rsid w:val="00B8003E"/>
    <w:rsid w:val="00B8179A"/>
    <w:rsid w:val="00B81A6C"/>
    <w:rsid w:val="00B82BD9"/>
    <w:rsid w:val="00B83086"/>
    <w:rsid w:val="00B84A85"/>
    <w:rsid w:val="00B85D81"/>
    <w:rsid w:val="00B85DE5"/>
    <w:rsid w:val="00B86300"/>
    <w:rsid w:val="00B87331"/>
    <w:rsid w:val="00B903AE"/>
    <w:rsid w:val="00B905A8"/>
    <w:rsid w:val="00B90F73"/>
    <w:rsid w:val="00B915E1"/>
    <w:rsid w:val="00B9206B"/>
    <w:rsid w:val="00B92089"/>
    <w:rsid w:val="00B9218D"/>
    <w:rsid w:val="00B92D6D"/>
    <w:rsid w:val="00B93B59"/>
    <w:rsid w:val="00B9406A"/>
    <w:rsid w:val="00B96501"/>
    <w:rsid w:val="00B96913"/>
    <w:rsid w:val="00BA0437"/>
    <w:rsid w:val="00BA0745"/>
    <w:rsid w:val="00BA11FE"/>
    <w:rsid w:val="00BA1CD1"/>
    <w:rsid w:val="00BA2280"/>
    <w:rsid w:val="00BA2613"/>
    <w:rsid w:val="00BA2A08"/>
    <w:rsid w:val="00BA2D5E"/>
    <w:rsid w:val="00BA308D"/>
    <w:rsid w:val="00BA4290"/>
    <w:rsid w:val="00BA4DF3"/>
    <w:rsid w:val="00BA56D2"/>
    <w:rsid w:val="00BA6990"/>
    <w:rsid w:val="00BA76E0"/>
    <w:rsid w:val="00BA76FC"/>
    <w:rsid w:val="00BA7F97"/>
    <w:rsid w:val="00BB07A0"/>
    <w:rsid w:val="00BB220A"/>
    <w:rsid w:val="00BB2A25"/>
    <w:rsid w:val="00BB3D99"/>
    <w:rsid w:val="00BB51E9"/>
    <w:rsid w:val="00BB61A5"/>
    <w:rsid w:val="00BC0FDC"/>
    <w:rsid w:val="00BC201C"/>
    <w:rsid w:val="00BC27DB"/>
    <w:rsid w:val="00BC3053"/>
    <w:rsid w:val="00BC4732"/>
    <w:rsid w:val="00BC4D2E"/>
    <w:rsid w:val="00BC5336"/>
    <w:rsid w:val="00BC57D4"/>
    <w:rsid w:val="00BD0EA9"/>
    <w:rsid w:val="00BD1EB4"/>
    <w:rsid w:val="00BD2A73"/>
    <w:rsid w:val="00BD3D28"/>
    <w:rsid w:val="00BD486C"/>
    <w:rsid w:val="00BD48AC"/>
    <w:rsid w:val="00BD5BBC"/>
    <w:rsid w:val="00BD5F1A"/>
    <w:rsid w:val="00BD7C70"/>
    <w:rsid w:val="00BE041F"/>
    <w:rsid w:val="00BE0F3A"/>
    <w:rsid w:val="00BE10D8"/>
    <w:rsid w:val="00BE1234"/>
    <w:rsid w:val="00BE2020"/>
    <w:rsid w:val="00BE2FA6"/>
    <w:rsid w:val="00BE333F"/>
    <w:rsid w:val="00BE64B5"/>
    <w:rsid w:val="00BE7406"/>
    <w:rsid w:val="00BE7603"/>
    <w:rsid w:val="00BE7B33"/>
    <w:rsid w:val="00BE7FF0"/>
    <w:rsid w:val="00BF0B3B"/>
    <w:rsid w:val="00BF166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0EF3"/>
    <w:rsid w:val="00C11DE6"/>
    <w:rsid w:val="00C12107"/>
    <w:rsid w:val="00C12156"/>
    <w:rsid w:val="00C14227"/>
    <w:rsid w:val="00C14D4B"/>
    <w:rsid w:val="00C154BB"/>
    <w:rsid w:val="00C15705"/>
    <w:rsid w:val="00C200F7"/>
    <w:rsid w:val="00C20D20"/>
    <w:rsid w:val="00C22A9F"/>
    <w:rsid w:val="00C22D8B"/>
    <w:rsid w:val="00C23FB1"/>
    <w:rsid w:val="00C24345"/>
    <w:rsid w:val="00C244D6"/>
    <w:rsid w:val="00C2555D"/>
    <w:rsid w:val="00C277EB"/>
    <w:rsid w:val="00C279B5"/>
    <w:rsid w:val="00C27C45"/>
    <w:rsid w:val="00C30A0D"/>
    <w:rsid w:val="00C34568"/>
    <w:rsid w:val="00C35AF1"/>
    <w:rsid w:val="00C3719D"/>
    <w:rsid w:val="00C37997"/>
    <w:rsid w:val="00C40F27"/>
    <w:rsid w:val="00C4215B"/>
    <w:rsid w:val="00C4320B"/>
    <w:rsid w:val="00C43463"/>
    <w:rsid w:val="00C442B5"/>
    <w:rsid w:val="00C45322"/>
    <w:rsid w:val="00C45631"/>
    <w:rsid w:val="00C470C4"/>
    <w:rsid w:val="00C471E3"/>
    <w:rsid w:val="00C474EE"/>
    <w:rsid w:val="00C5094D"/>
    <w:rsid w:val="00C52FDA"/>
    <w:rsid w:val="00C531B3"/>
    <w:rsid w:val="00C54995"/>
    <w:rsid w:val="00C54D41"/>
    <w:rsid w:val="00C56676"/>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BA5"/>
    <w:rsid w:val="00C75548"/>
    <w:rsid w:val="00C75D2F"/>
    <w:rsid w:val="00C767BE"/>
    <w:rsid w:val="00C76A28"/>
    <w:rsid w:val="00C76E3C"/>
    <w:rsid w:val="00C806C0"/>
    <w:rsid w:val="00C809B3"/>
    <w:rsid w:val="00C80F38"/>
    <w:rsid w:val="00C81568"/>
    <w:rsid w:val="00C81A4D"/>
    <w:rsid w:val="00C82E3B"/>
    <w:rsid w:val="00C8333F"/>
    <w:rsid w:val="00C85CAD"/>
    <w:rsid w:val="00C85CB9"/>
    <w:rsid w:val="00C85E4C"/>
    <w:rsid w:val="00C864FE"/>
    <w:rsid w:val="00C8740E"/>
    <w:rsid w:val="00C9027A"/>
    <w:rsid w:val="00C9068E"/>
    <w:rsid w:val="00C917E3"/>
    <w:rsid w:val="00C922C5"/>
    <w:rsid w:val="00C93C4B"/>
    <w:rsid w:val="00C93CE2"/>
    <w:rsid w:val="00C944AB"/>
    <w:rsid w:val="00C95B40"/>
    <w:rsid w:val="00C95E01"/>
    <w:rsid w:val="00C967F3"/>
    <w:rsid w:val="00CA1BDD"/>
    <w:rsid w:val="00CA1ED8"/>
    <w:rsid w:val="00CA2EDB"/>
    <w:rsid w:val="00CA599E"/>
    <w:rsid w:val="00CA5B05"/>
    <w:rsid w:val="00CB1F63"/>
    <w:rsid w:val="00CB275D"/>
    <w:rsid w:val="00CB2F66"/>
    <w:rsid w:val="00CB3FA4"/>
    <w:rsid w:val="00CB522D"/>
    <w:rsid w:val="00CB7170"/>
    <w:rsid w:val="00CB76EC"/>
    <w:rsid w:val="00CC040E"/>
    <w:rsid w:val="00CC0933"/>
    <w:rsid w:val="00CC111F"/>
    <w:rsid w:val="00CC2011"/>
    <w:rsid w:val="00CC265B"/>
    <w:rsid w:val="00CC28DC"/>
    <w:rsid w:val="00CC3EA0"/>
    <w:rsid w:val="00CC4527"/>
    <w:rsid w:val="00CC6D61"/>
    <w:rsid w:val="00CC7034"/>
    <w:rsid w:val="00CC7B45"/>
    <w:rsid w:val="00CD0C13"/>
    <w:rsid w:val="00CD1188"/>
    <w:rsid w:val="00CD12CF"/>
    <w:rsid w:val="00CD1B1D"/>
    <w:rsid w:val="00CD2ED1"/>
    <w:rsid w:val="00CD337B"/>
    <w:rsid w:val="00CD39A2"/>
    <w:rsid w:val="00CD39A8"/>
    <w:rsid w:val="00CD3B5C"/>
    <w:rsid w:val="00CD3FD4"/>
    <w:rsid w:val="00CD4ACE"/>
    <w:rsid w:val="00CD5DD9"/>
    <w:rsid w:val="00CE0062"/>
    <w:rsid w:val="00CE0424"/>
    <w:rsid w:val="00CE0D18"/>
    <w:rsid w:val="00CE11D7"/>
    <w:rsid w:val="00CE3312"/>
    <w:rsid w:val="00CE5056"/>
    <w:rsid w:val="00CE5177"/>
    <w:rsid w:val="00CE599F"/>
    <w:rsid w:val="00CE7561"/>
    <w:rsid w:val="00CE7DDD"/>
    <w:rsid w:val="00CF04EC"/>
    <w:rsid w:val="00CF07C5"/>
    <w:rsid w:val="00CF1354"/>
    <w:rsid w:val="00CF1B89"/>
    <w:rsid w:val="00CF3B1F"/>
    <w:rsid w:val="00CF3BF6"/>
    <w:rsid w:val="00CF41A0"/>
    <w:rsid w:val="00CF539E"/>
    <w:rsid w:val="00CF54A6"/>
    <w:rsid w:val="00CF5BE6"/>
    <w:rsid w:val="00CF625B"/>
    <w:rsid w:val="00CF687E"/>
    <w:rsid w:val="00CF6F62"/>
    <w:rsid w:val="00D00F45"/>
    <w:rsid w:val="00D01433"/>
    <w:rsid w:val="00D01FC1"/>
    <w:rsid w:val="00D0349B"/>
    <w:rsid w:val="00D03C9C"/>
    <w:rsid w:val="00D04E9A"/>
    <w:rsid w:val="00D05054"/>
    <w:rsid w:val="00D0687A"/>
    <w:rsid w:val="00D076C2"/>
    <w:rsid w:val="00D07867"/>
    <w:rsid w:val="00D10249"/>
    <w:rsid w:val="00D10D18"/>
    <w:rsid w:val="00D115C3"/>
    <w:rsid w:val="00D11897"/>
    <w:rsid w:val="00D11F8B"/>
    <w:rsid w:val="00D13135"/>
    <w:rsid w:val="00D13E4E"/>
    <w:rsid w:val="00D1596D"/>
    <w:rsid w:val="00D164F1"/>
    <w:rsid w:val="00D1779C"/>
    <w:rsid w:val="00D22D7E"/>
    <w:rsid w:val="00D239A7"/>
    <w:rsid w:val="00D23F47"/>
    <w:rsid w:val="00D25CB6"/>
    <w:rsid w:val="00D26AE7"/>
    <w:rsid w:val="00D31194"/>
    <w:rsid w:val="00D3234B"/>
    <w:rsid w:val="00D3235D"/>
    <w:rsid w:val="00D323F0"/>
    <w:rsid w:val="00D32B46"/>
    <w:rsid w:val="00D343AD"/>
    <w:rsid w:val="00D34577"/>
    <w:rsid w:val="00D34C64"/>
    <w:rsid w:val="00D36C28"/>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50109"/>
    <w:rsid w:val="00D50F97"/>
    <w:rsid w:val="00D5180C"/>
    <w:rsid w:val="00D5336E"/>
    <w:rsid w:val="00D53998"/>
    <w:rsid w:val="00D53FE0"/>
    <w:rsid w:val="00D546FF"/>
    <w:rsid w:val="00D54AC2"/>
    <w:rsid w:val="00D55AD5"/>
    <w:rsid w:val="00D576CA"/>
    <w:rsid w:val="00D57A60"/>
    <w:rsid w:val="00D617F5"/>
    <w:rsid w:val="00D61AF5"/>
    <w:rsid w:val="00D61DDB"/>
    <w:rsid w:val="00D647CC"/>
    <w:rsid w:val="00D64A54"/>
    <w:rsid w:val="00D652B5"/>
    <w:rsid w:val="00D6546F"/>
    <w:rsid w:val="00D66155"/>
    <w:rsid w:val="00D66875"/>
    <w:rsid w:val="00D708B0"/>
    <w:rsid w:val="00D70976"/>
    <w:rsid w:val="00D71594"/>
    <w:rsid w:val="00D7203C"/>
    <w:rsid w:val="00D725B7"/>
    <w:rsid w:val="00D72B7D"/>
    <w:rsid w:val="00D7389E"/>
    <w:rsid w:val="00D742AE"/>
    <w:rsid w:val="00D745E2"/>
    <w:rsid w:val="00D75D56"/>
    <w:rsid w:val="00D76712"/>
    <w:rsid w:val="00D76C8C"/>
    <w:rsid w:val="00D76F79"/>
    <w:rsid w:val="00D77A47"/>
    <w:rsid w:val="00D77B1D"/>
    <w:rsid w:val="00D8021F"/>
    <w:rsid w:val="00D80383"/>
    <w:rsid w:val="00D817C1"/>
    <w:rsid w:val="00D823C6"/>
    <w:rsid w:val="00D8479B"/>
    <w:rsid w:val="00D84D6E"/>
    <w:rsid w:val="00D8568F"/>
    <w:rsid w:val="00D86CA3"/>
    <w:rsid w:val="00D871CE"/>
    <w:rsid w:val="00D8792A"/>
    <w:rsid w:val="00D906AC"/>
    <w:rsid w:val="00D9196D"/>
    <w:rsid w:val="00D92982"/>
    <w:rsid w:val="00D93E74"/>
    <w:rsid w:val="00D93F33"/>
    <w:rsid w:val="00D93FE9"/>
    <w:rsid w:val="00D951CD"/>
    <w:rsid w:val="00D9697A"/>
    <w:rsid w:val="00D9783D"/>
    <w:rsid w:val="00DA1EE0"/>
    <w:rsid w:val="00DA305E"/>
    <w:rsid w:val="00DA3207"/>
    <w:rsid w:val="00DA325E"/>
    <w:rsid w:val="00DA3457"/>
    <w:rsid w:val="00DA3DF7"/>
    <w:rsid w:val="00DA4373"/>
    <w:rsid w:val="00DA4DC8"/>
    <w:rsid w:val="00DA5417"/>
    <w:rsid w:val="00DA56E8"/>
    <w:rsid w:val="00DA6387"/>
    <w:rsid w:val="00DA6985"/>
    <w:rsid w:val="00DA7CF5"/>
    <w:rsid w:val="00DB0A9F"/>
    <w:rsid w:val="00DB0BB5"/>
    <w:rsid w:val="00DB1621"/>
    <w:rsid w:val="00DB1890"/>
    <w:rsid w:val="00DB1E0B"/>
    <w:rsid w:val="00DB3225"/>
    <w:rsid w:val="00DB377D"/>
    <w:rsid w:val="00DB3796"/>
    <w:rsid w:val="00DB45D4"/>
    <w:rsid w:val="00DB5546"/>
    <w:rsid w:val="00DB558A"/>
    <w:rsid w:val="00DB733B"/>
    <w:rsid w:val="00DC0D22"/>
    <w:rsid w:val="00DC2D36"/>
    <w:rsid w:val="00DC3F68"/>
    <w:rsid w:val="00DC53EF"/>
    <w:rsid w:val="00DC560B"/>
    <w:rsid w:val="00DC585C"/>
    <w:rsid w:val="00DD13B5"/>
    <w:rsid w:val="00DD14BA"/>
    <w:rsid w:val="00DD42C4"/>
    <w:rsid w:val="00DD4B15"/>
    <w:rsid w:val="00DD4F9A"/>
    <w:rsid w:val="00DD59A9"/>
    <w:rsid w:val="00DD7922"/>
    <w:rsid w:val="00DE4BD2"/>
    <w:rsid w:val="00DE5608"/>
    <w:rsid w:val="00DE58D0"/>
    <w:rsid w:val="00DE613D"/>
    <w:rsid w:val="00DE654F"/>
    <w:rsid w:val="00DF0B6E"/>
    <w:rsid w:val="00DF0D18"/>
    <w:rsid w:val="00DF15E0"/>
    <w:rsid w:val="00DF1F12"/>
    <w:rsid w:val="00DF2AAA"/>
    <w:rsid w:val="00DF312D"/>
    <w:rsid w:val="00DF37A0"/>
    <w:rsid w:val="00DF3D41"/>
    <w:rsid w:val="00DF3F70"/>
    <w:rsid w:val="00DF4EFF"/>
    <w:rsid w:val="00DF6874"/>
    <w:rsid w:val="00DF7C58"/>
    <w:rsid w:val="00E00475"/>
    <w:rsid w:val="00E0382B"/>
    <w:rsid w:val="00E04265"/>
    <w:rsid w:val="00E0440B"/>
    <w:rsid w:val="00E0494D"/>
    <w:rsid w:val="00E04B85"/>
    <w:rsid w:val="00E076D6"/>
    <w:rsid w:val="00E07E82"/>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4BF2"/>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723A"/>
    <w:rsid w:val="00E37860"/>
    <w:rsid w:val="00E40303"/>
    <w:rsid w:val="00E41EA8"/>
    <w:rsid w:val="00E41F29"/>
    <w:rsid w:val="00E429DF"/>
    <w:rsid w:val="00E43412"/>
    <w:rsid w:val="00E43421"/>
    <w:rsid w:val="00E446F1"/>
    <w:rsid w:val="00E46383"/>
    <w:rsid w:val="00E4663C"/>
    <w:rsid w:val="00E46886"/>
    <w:rsid w:val="00E46BCF"/>
    <w:rsid w:val="00E47AEF"/>
    <w:rsid w:val="00E502B2"/>
    <w:rsid w:val="00E50307"/>
    <w:rsid w:val="00E53B75"/>
    <w:rsid w:val="00E53BDF"/>
    <w:rsid w:val="00E54AF4"/>
    <w:rsid w:val="00E54E3B"/>
    <w:rsid w:val="00E57565"/>
    <w:rsid w:val="00E60379"/>
    <w:rsid w:val="00E6153D"/>
    <w:rsid w:val="00E63838"/>
    <w:rsid w:val="00E64298"/>
    <w:rsid w:val="00E64434"/>
    <w:rsid w:val="00E64E9E"/>
    <w:rsid w:val="00E67C51"/>
    <w:rsid w:val="00E67E81"/>
    <w:rsid w:val="00E70587"/>
    <w:rsid w:val="00E70C87"/>
    <w:rsid w:val="00E72E83"/>
    <w:rsid w:val="00E72EFC"/>
    <w:rsid w:val="00E73127"/>
    <w:rsid w:val="00E7332A"/>
    <w:rsid w:val="00E74825"/>
    <w:rsid w:val="00E75759"/>
    <w:rsid w:val="00E758EC"/>
    <w:rsid w:val="00E75F5B"/>
    <w:rsid w:val="00E80185"/>
    <w:rsid w:val="00E80955"/>
    <w:rsid w:val="00E81341"/>
    <w:rsid w:val="00E81940"/>
    <w:rsid w:val="00E8234C"/>
    <w:rsid w:val="00E834E9"/>
    <w:rsid w:val="00E8359F"/>
    <w:rsid w:val="00E83AA9"/>
    <w:rsid w:val="00E84541"/>
    <w:rsid w:val="00E84E9F"/>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7F67"/>
    <w:rsid w:val="00EA2424"/>
    <w:rsid w:val="00EA3510"/>
    <w:rsid w:val="00EA3531"/>
    <w:rsid w:val="00EA4518"/>
    <w:rsid w:val="00EA4859"/>
    <w:rsid w:val="00EA7881"/>
    <w:rsid w:val="00EA7A41"/>
    <w:rsid w:val="00EB077B"/>
    <w:rsid w:val="00EB0A2F"/>
    <w:rsid w:val="00EB1764"/>
    <w:rsid w:val="00EB4EA2"/>
    <w:rsid w:val="00EB546C"/>
    <w:rsid w:val="00EB6487"/>
    <w:rsid w:val="00EB74A8"/>
    <w:rsid w:val="00EC06C7"/>
    <w:rsid w:val="00EC1954"/>
    <w:rsid w:val="00EC2338"/>
    <w:rsid w:val="00EC27A5"/>
    <w:rsid w:val="00EC27C6"/>
    <w:rsid w:val="00EC2C43"/>
    <w:rsid w:val="00EC3369"/>
    <w:rsid w:val="00EC3850"/>
    <w:rsid w:val="00EC3CD9"/>
    <w:rsid w:val="00EC4207"/>
    <w:rsid w:val="00EC4724"/>
    <w:rsid w:val="00EC4E2E"/>
    <w:rsid w:val="00EC5653"/>
    <w:rsid w:val="00EC5759"/>
    <w:rsid w:val="00EC681C"/>
    <w:rsid w:val="00EC71CE"/>
    <w:rsid w:val="00EC74D7"/>
    <w:rsid w:val="00ED072A"/>
    <w:rsid w:val="00ED0EC0"/>
    <w:rsid w:val="00ED1006"/>
    <w:rsid w:val="00ED20CC"/>
    <w:rsid w:val="00ED21BB"/>
    <w:rsid w:val="00ED26DA"/>
    <w:rsid w:val="00ED285D"/>
    <w:rsid w:val="00ED2DB0"/>
    <w:rsid w:val="00ED3833"/>
    <w:rsid w:val="00ED4754"/>
    <w:rsid w:val="00ED4C17"/>
    <w:rsid w:val="00ED4E52"/>
    <w:rsid w:val="00ED75A3"/>
    <w:rsid w:val="00ED7BD8"/>
    <w:rsid w:val="00EE0845"/>
    <w:rsid w:val="00EE0A4E"/>
    <w:rsid w:val="00EE2899"/>
    <w:rsid w:val="00EE43E6"/>
    <w:rsid w:val="00EE4EDA"/>
    <w:rsid w:val="00EE5DFA"/>
    <w:rsid w:val="00EE6802"/>
    <w:rsid w:val="00EF064E"/>
    <w:rsid w:val="00EF0EEC"/>
    <w:rsid w:val="00EF1400"/>
    <w:rsid w:val="00EF18FE"/>
    <w:rsid w:val="00EF191F"/>
    <w:rsid w:val="00EF1AE6"/>
    <w:rsid w:val="00EF280F"/>
    <w:rsid w:val="00EF2ACE"/>
    <w:rsid w:val="00EF34E8"/>
    <w:rsid w:val="00EF3BF6"/>
    <w:rsid w:val="00EF43F1"/>
    <w:rsid w:val="00EF5787"/>
    <w:rsid w:val="00EF60D0"/>
    <w:rsid w:val="00EF6533"/>
    <w:rsid w:val="00F0218D"/>
    <w:rsid w:val="00F02405"/>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6EF"/>
    <w:rsid w:val="00F15354"/>
    <w:rsid w:val="00F15E99"/>
    <w:rsid w:val="00F15FA5"/>
    <w:rsid w:val="00F16947"/>
    <w:rsid w:val="00F209B7"/>
    <w:rsid w:val="00F20A3C"/>
    <w:rsid w:val="00F20E18"/>
    <w:rsid w:val="00F232B2"/>
    <w:rsid w:val="00F2376F"/>
    <w:rsid w:val="00F243D8"/>
    <w:rsid w:val="00F25210"/>
    <w:rsid w:val="00F25462"/>
    <w:rsid w:val="00F26458"/>
    <w:rsid w:val="00F26C40"/>
    <w:rsid w:val="00F27412"/>
    <w:rsid w:val="00F27B21"/>
    <w:rsid w:val="00F305FB"/>
    <w:rsid w:val="00F30828"/>
    <w:rsid w:val="00F313D6"/>
    <w:rsid w:val="00F31F43"/>
    <w:rsid w:val="00F32253"/>
    <w:rsid w:val="00F3449D"/>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2A6"/>
    <w:rsid w:val="00F61831"/>
    <w:rsid w:val="00F6302A"/>
    <w:rsid w:val="00F6314D"/>
    <w:rsid w:val="00F6316C"/>
    <w:rsid w:val="00F63C80"/>
    <w:rsid w:val="00F64C2B"/>
    <w:rsid w:val="00F651BE"/>
    <w:rsid w:val="00F6711C"/>
    <w:rsid w:val="00F67F53"/>
    <w:rsid w:val="00F703BE"/>
    <w:rsid w:val="00F71F69"/>
    <w:rsid w:val="00F7228F"/>
    <w:rsid w:val="00F72B72"/>
    <w:rsid w:val="00F73E4F"/>
    <w:rsid w:val="00F746A1"/>
    <w:rsid w:val="00F74BB9"/>
    <w:rsid w:val="00F75582"/>
    <w:rsid w:val="00F75A7A"/>
    <w:rsid w:val="00F76EFA"/>
    <w:rsid w:val="00F774B3"/>
    <w:rsid w:val="00F804BE"/>
    <w:rsid w:val="00F817CE"/>
    <w:rsid w:val="00F82763"/>
    <w:rsid w:val="00F82B6A"/>
    <w:rsid w:val="00F8456C"/>
    <w:rsid w:val="00F845E0"/>
    <w:rsid w:val="00F84B3E"/>
    <w:rsid w:val="00F85742"/>
    <w:rsid w:val="00F859D8"/>
    <w:rsid w:val="00F868F5"/>
    <w:rsid w:val="00F9056A"/>
    <w:rsid w:val="00F90F8D"/>
    <w:rsid w:val="00F9192C"/>
    <w:rsid w:val="00F91CE4"/>
    <w:rsid w:val="00F92782"/>
    <w:rsid w:val="00F93AA9"/>
    <w:rsid w:val="00F948C2"/>
    <w:rsid w:val="00F962F8"/>
    <w:rsid w:val="00F96985"/>
    <w:rsid w:val="00F97838"/>
    <w:rsid w:val="00FA2097"/>
    <w:rsid w:val="00FA2586"/>
    <w:rsid w:val="00FA27FB"/>
    <w:rsid w:val="00FA2BB3"/>
    <w:rsid w:val="00FA3CDB"/>
    <w:rsid w:val="00FA56A1"/>
    <w:rsid w:val="00FA759C"/>
    <w:rsid w:val="00FB262F"/>
    <w:rsid w:val="00FB4C80"/>
    <w:rsid w:val="00FB6710"/>
    <w:rsid w:val="00FB6A6A"/>
    <w:rsid w:val="00FC16B9"/>
    <w:rsid w:val="00FC2F5F"/>
    <w:rsid w:val="00FC4075"/>
    <w:rsid w:val="00FC5BB2"/>
    <w:rsid w:val="00FC5DCB"/>
    <w:rsid w:val="00FC64F9"/>
    <w:rsid w:val="00FC7429"/>
    <w:rsid w:val="00FD013F"/>
    <w:rsid w:val="00FD07F6"/>
    <w:rsid w:val="00FD1EC8"/>
    <w:rsid w:val="00FD37F0"/>
    <w:rsid w:val="00FD47ED"/>
    <w:rsid w:val="00FD5259"/>
    <w:rsid w:val="00FD74DB"/>
    <w:rsid w:val="00FD7660"/>
    <w:rsid w:val="00FE0655"/>
    <w:rsid w:val="00FE090D"/>
    <w:rsid w:val="00FE2365"/>
    <w:rsid w:val="00FE40D5"/>
    <w:rsid w:val="00FE4C7B"/>
    <w:rsid w:val="00FE7336"/>
    <w:rsid w:val="00FE787C"/>
    <w:rsid w:val="00FF18F0"/>
    <w:rsid w:val="00FF1C21"/>
    <w:rsid w:val="00FF250D"/>
    <w:rsid w:val="00FF45A5"/>
    <w:rsid w:val="00FF50A6"/>
    <w:rsid w:val="00FF550B"/>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0EC17406"/>
    <w:rsid w:val="134A0035"/>
    <w:rsid w:val="135C7F4F"/>
    <w:rsid w:val="16563130"/>
    <w:rsid w:val="182F101F"/>
    <w:rsid w:val="18B9619D"/>
    <w:rsid w:val="191242AE"/>
    <w:rsid w:val="1AEF5DBD"/>
    <w:rsid w:val="1B423649"/>
    <w:rsid w:val="1BA24967"/>
    <w:rsid w:val="1BD95F94"/>
    <w:rsid w:val="1C5E7298"/>
    <w:rsid w:val="1D7C4437"/>
    <w:rsid w:val="1DDD518B"/>
    <w:rsid w:val="1F734328"/>
    <w:rsid w:val="1FA11974"/>
    <w:rsid w:val="2031215C"/>
    <w:rsid w:val="20955704"/>
    <w:rsid w:val="20E9518E"/>
    <w:rsid w:val="22B05F16"/>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A970B98"/>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5FAB27EA"/>
    <w:rsid w:val="6009519E"/>
    <w:rsid w:val="612D3C7B"/>
    <w:rsid w:val="61826F89"/>
    <w:rsid w:val="62E70A4E"/>
    <w:rsid w:val="632C6FC4"/>
    <w:rsid w:val="634B3FF6"/>
    <w:rsid w:val="644F5E22"/>
    <w:rsid w:val="663B46C9"/>
    <w:rsid w:val="663F30CF"/>
    <w:rsid w:val="67413BF6"/>
    <w:rsid w:val="67D27C62"/>
    <w:rsid w:val="698044A5"/>
    <w:rsid w:val="6A510F7A"/>
    <w:rsid w:val="6A9C7A98"/>
    <w:rsid w:val="6B0D712F"/>
    <w:rsid w:val="6B28575B"/>
    <w:rsid w:val="6C3B431E"/>
    <w:rsid w:val="6CC1587C"/>
    <w:rsid w:val="6D2B74AA"/>
    <w:rsid w:val="6F44559B"/>
    <w:rsid w:val="703A2630"/>
    <w:rsid w:val="71D05F49"/>
    <w:rsid w:val="74722C9A"/>
    <w:rsid w:val="747E452E"/>
    <w:rsid w:val="755F161D"/>
    <w:rsid w:val="7572127B"/>
    <w:rsid w:val="75EA7003"/>
    <w:rsid w:val="778A542A"/>
    <w:rsid w:val="78785F17"/>
    <w:rsid w:val="79C11BD2"/>
    <w:rsid w:val="79E8078D"/>
    <w:rsid w:val="7AA678C6"/>
    <w:rsid w:val="7AB34ECD"/>
    <w:rsid w:val="7C050B07"/>
    <w:rsid w:val="7C9E7A01"/>
    <w:rsid w:val="7D2E186E"/>
    <w:rsid w:val="7D8F4D8B"/>
    <w:rsid w:val="7E5D66DD"/>
    <w:rsid w:val="7E734104"/>
    <w:rsid w:val="7EEE5FCC"/>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unhideWhenUsed="0" w:uiPriority="99" w:semiHidden="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nhideWhenUsed="0" w:uiPriority="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89"/>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uiPriority w:val="0"/>
    <w:pPr>
      <w:tabs>
        <w:tab w:val="right" w:pos="1701"/>
      </w:tabs>
      <w:ind w:left="2268" w:hanging="2268"/>
    </w:pPr>
  </w:style>
  <w:style w:type="paragraph" w:styleId="15">
    <w:name w:val="toc 6"/>
    <w:basedOn w:val="16"/>
    <w:next w:val="1"/>
    <w:semiHidden/>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uiPriority w:val="0"/>
  </w:style>
  <w:style w:type="paragraph" w:styleId="23">
    <w:name w:val="List Bullet 4"/>
    <w:basedOn w:val="24"/>
    <w:uiPriority w:val="0"/>
    <w:pPr>
      <w:numPr>
        <w:numId w:val="2"/>
      </w:numPr>
      <w:tabs>
        <w:tab w:val="left" w:pos="510"/>
        <w:tab w:val="left" w:pos="794"/>
        <w:tab w:val="left" w:pos="1077"/>
        <w:tab w:val="left" w:pos="1361"/>
      </w:tabs>
    </w:pPr>
  </w:style>
  <w:style w:type="paragraph" w:styleId="24">
    <w:name w:val="List Bullet 3"/>
    <w:basedOn w:val="25"/>
    <w:uiPriority w:val="0"/>
    <w:pPr>
      <w:numPr>
        <w:numId w:val="3"/>
      </w:numPr>
      <w:tabs>
        <w:tab w:val="left" w:pos="510"/>
        <w:tab w:val="left" w:pos="794"/>
        <w:tab w:val="left" w:pos="1077"/>
      </w:tabs>
    </w:pPr>
  </w:style>
  <w:style w:type="paragraph" w:styleId="25">
    <w:name w:val="List Bullet 2"/>
    <w:basedOn w:val="26"/>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0"/>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3"/>
    <w:uiPriority w:val="0"/>
    <w:pPr>
      <w:numPr>
        <w:numId w:val="6"/>
      </w:numPr>
      <w:tabs>
        <w:tab w:val="left" w:pos="1644"/>
        <w:tab w:val="clear" w:pos="1361"/>
      </w:tabs>
    </w:pPr>
  </w:style>
  <w:style w:type="paragraph" w:styleId="32">
    <w:name w:val="toc 8"/>
    <w:basedOn w:val="20"/>
    <w:next w:val="1"/>
    <w:semiHidden/>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8"/>
    <w:qFormat/>
    <w:uiPriority w:val="0"/>
    <w:pPr>
      <w:widowControl w:val="0"/>
    </w:pPr>
    <w:rPr>
      <w:rFonts w:eastAsia="MS Mincho"/>
      <w:b/>
      <w:sz w:val="24"/>
      <w:szCs w:val="24"/>
    </w:rPr>
  </w:style>
  <w:style w:type="paragraph" w:styleId="36">
    <w:name w:val="footnote text"/>
    <w:basedOn w:val="1"/>
    <w:semiHidden/>
    <w:uiPriority w:val="0"/>
    <w:pPr>
      <w:keepLines/>
      <w:spacing w:after="0"/>
      <w:ind w:left="454" w:hanging="454"/>
    </w:pPr>
    <w:rPr>
      <w:sz w:val="16"/>
      <w:szCs w:val="16"/>
    </w:rPr>
  </w:style>
  <w:style w:type="paragraph" w:styleId="37">
    <w:name w:val="List 5"/>
    <w:basedOn w:val="38"/>
    <w:uiPriority w:val="0"/>
    <w:pPr>
      <w:ind w:left="1702"/>
    </w:pPr>
  </w:style>
  <w:style w:type="paragraph" w:styleId="38">
    <w:name w:val="List 4"/>
    <w:basedOn w:val="11"/>
    <w:uiPriority w:val="0"/>
    <w:pPr>
      <w:ind w:left="1418"/>
    </w:pPr>
  </w:style>
  <w:style w:type="paragraph" w:styleId="39">
    <w:name w:val="table of figures"/>
    <w:basedOn w:val="1"/>
    <w:next w:val="1"/>
    <w:uiPriority w:val="99"/>
    <w:pPr>
      <w:ind w:left="1418" w:hanging="1418"/>
      <w:jc w:val="left"/>
    </w:pPr>
    <w:rPr>
      <w:b/>
    </w:rPr>
  </w:style>
  <w:style w:type="paragraph" w:styleId="40">
    <w:name w:val="toc 9"/>
    <w:basedOn w:val="32"/>
    <w:next w:val="1"/>
    <w:semiHidden/>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uiPriority w:val="0"/>
  </w:style>
  <w:style w:type="character" w:styleId="49">
    <w:name w:val="FollowedHyperlink"/>
    <w:semiHidden/>
    <w:uiPriority w:val="0"/>
    <w:rPr>
      <w:color w:val="FF0000"/>
      <w:u w:val="single"/>
    </w:rPr>
  </w:style>
  <w:style w:type="character" w:styleId="50">
    <w:name w:val="Hyperlink"/>
    <w:qFormat/>
    <w:uiPriority w:val="99"/>
    <w:rPr>
      <w:color w:val="0000FF"/>
      <w:u w:val="single"/>
    </w:rPr>
  </w:style>
  <w:style w:type="character" w:styleId="51">
    <w:name w:val="annotation reference"/>
    <w:semiHidden/>
    <w:uiPriority w:val="0"/>
    <w:rPr>
      <w:sz w:val="16"/>
      <w:szCs w:val="16"/>
    </w:rPr>
  </w:style>
  <w:style w:type="character" w:styleId="52">
    <w:name w:val="footnote reference"/>
    <w:semiHidden/>
    <w:uiPriority w:val="0"/>
    <w:rPr>
      <w:b/>
      <w:bCs/>
      <w:position w:val="6"/>
      <w:sz w:val="16"/>
      <w:szCs w:val="16"/>
    </w:rPr>
  </w:style>
  <w:style w:type="paragraph" w:customStyle="1" w:styleId="53">
    <w:name w:val="Figure"/>
    <w:basedOn w:val="1"/>
    <w:next w:val="28"/>
    <w:qFormat/>
    <w:uiPriority w:val="0"/>
    <w:pPr>
      <w:keepNext/>
      <w:keepLines/>
      <w:spacing w:before="180"/>
      <w:jc w:val="center"/>
    </w:pPr>
  </w:style>
  <w:style w:type="paragraph" w:customStyle="1" w:styleId="54">
    <w:name w:val="3GPP_Header"/>
    <w:basedOn w:val="1"/>
    <w:qFormat/>
    <w:uiPriority w:val="0"/>
    <w:pPr>
      <w:tabs>
        <w:tab w:val="left" w:pos="1701"/>
        <w:tab w:val="right" w:pos="9639"/>
      </w:tabs>
      <w:spacing w:after="240"/>
    </w:pPr>
    <w:rPr>
      <w:b/>
      <w:sz w:val="24"/>
    </w:rPr>
  </w:style>
  <w:style w:type="paragraph" w:customStyle="1" w:styleId="55">
    <w:name w:val="EQ"/>
    <w:basedOn w:val="1"/>
    <w:next w:val="1"/>
    <w:uiPriority w:val="0"/>
    <w:pPr>
      <w:keepLines/>
      <w:tabs>
        <w:tab w:val="center" w:pos="4536"/>
        <w:tab w:val="right" w:pos="9072"/>
      </w:tabs>
      <w:spacing w:after="180"/>
      <w:jc w:val="left"/>
    </w:pPr>
    <w:rPr>
      <w:lang w:eastAsia="en-US"/>
    </w:rPr>
  </w:style>
  <w:style w:type="paragraph" w:customStyle="1" w:styleId="56">
    <w:name w:val="Editor's Note"/>
    <w:basedOn w:val="1"/>
    <w:uiPriority w:val="0"/>
    <w:pPr>
      <w:keepLines/>
      <w:spacing w:after="180"/>
      <w:ind w:left="1135" w:hanging="851"/>
      <w:jc w:val="left"/>
    </w:pPr>
    <w:rPr>
      <w:color w:val="FF0000"/>
      <w:lang w:eastAsia="en-US"/>
    </w:rPr>
  </w:style>
  <w:style w:type="paragraph" w:customStyle="1" w:styleId="57">
    <w:name w:val="Reference"/>
    <w:basedOn w:val="1"/>
    <w:qFormat/>
    <w:uiPriority w:val="0"/>
    <w:pPr>
      <w:numPr>
        <w:ilvl w:val="0"/>
        <w:numId w:val="7"/>
      </w:numPr>
    </w:pPr>
  </w:style>
  <w:style w:type="paragraph" w:customStyle="1" w:styleId="58">
    <w:name w:val="B1"/>
    <w:basedOn w:val="13"/>
    <w:link w:val="100"/>
    <w:qFormat/>
    <w:uiPriority w:val="0"/>
    <w:pPr>
      <w:spacing w:after="180"/>
      <w:jc w:val="left"/>
    </w:pPr>
    <w:rPr>
      <w:lang w:eastAsia="en-US"/>
    </w:rPr>
  </w:style>
  <w:style w:type="paragraph" w:customStyle="1" w:styleId="59">
    <w:name w:val="B2"/>
    <w:basedOn w:val="12"/>
    <w:uiPriority w:val="0"/>
    <w:pPr>
      <w:spacing w:after="180"/>
      <w:jc w:val="left"/>
    </w:pPr>
    <w:rPr>
      <w:lang w:eastAsia="en-US"/>
    </w:rPr>
  </w:style>
  <w:style w:type="paragraph" w:customStyle="1" w:styleId="60">
    <w:name w:val="B3"/>
    <w:basedOn w:val="11"/>
    <w:qFormat/>
    <w:uiPriority w:val="0"/>
    <w:pPr>
      <w:spacing w:after="180"/>
      <w:jc w:val="left"/>
    </w:pPr>
    <w:rPr>
      <w:lang w:eastAsia="en-US"/>
    </w:rPr>
  </w:style>
  <w:style w:type="paragraph" w:customStyle="1" w:styleId="61">
    <w:name w:val="B4"/>
    <w:basedOn w:val="38"/>
    <w:qFormat/>
    <w:uiPriority w:val="0"/>
    <w:pPr>
      <w:spacing w:after="180"/>
      <w:jc w:val="left"/>
    </w:pPr>
    <w:rPr>
      <w:lang w:eastAsia="en-US"/>
    </w:rPr>
  </w:style>
  <w:style w:type="paragraph" w:customStyle="1" w:styleId="62">
    <w:name w:val="Proposal"/>
    <w:basedOn w:val="1"/>
    <w:qFormat/>
    <w:uiPriority w:val="0"/>
    <w:pPr>
      <w:numPr>
        <w:ilvl w:val="0"/>
        <w:numId w:val="8"/>
      </w:numPr>
      <w:tabs>
        <w:tab w:val="left" w:pos="1701"/>
      </w:tabs>
    </w:pPr>
    <w:rPr>
      <w:b/>
      <w:bCs/>
    </w:rPr>
  </w:style>
  <w:style w:type="paragraph" w:customStyle="1" w:styleId="63">
    <w:name w:val="B5"/>
    <w:basedOn w:val="37"/>
    <w:uiPriority w:val="0"/>
    <w:pPr>
      <w:spacing w:after="180"/>
      <w:jc w:val="left"/>
    </w:pPr>
    <w:rPr>
      <w:lang w:eastAsia="en-US"/>
    </w:rPr>
  </w:style>
  <w:style w:type="paragraph" w:customStyle="1" w:styleId="64">
    <w:name w:val="EX"/>
    <w:basedOn w:val="1"/>
    <w:uiPriority w:val="0"/>
    <w:pPr>
      <w:keepLines/>
      <w:spacing w:after="180"/>
      <w:ind w:left="1702" w:hanging="1418"/>
      <w:jc w:val="left"/>
    </w:pPr>
    <w:rPr>
      <w:lang w:eastAsia="en-US"/>
    </w:rPr>
  </w:style>
  <w:style w:type="paragraph" w:customStyle="1" w:styleId="65">
    <w:name w:val="EW"/>
    <w:basedOn w:val="64"/>
    <w:qFormat/>
    <w:uiPriority w:val="0"/>
    <w:pPr>
      <w:spacing w:after="0"/>
    </w:pPr>
  </w:style>
  <w:style w:type="paragraph" w:customStyle="1" w:styleId="66">
    <w:name w:val="TAL"/>
    <w:basedOn w:val="1"/>
    <w:link w:val="94"/>
    <w:qFormat/>
    <w:uiPriority w:val="0"/>
    <w:pPr>
      <w:keepNext/>
      <w:keepLines/>
      <w:spacing w:after="0"/>
      <w:jc w:val="left"/>
    </w:pPr>
    <w:rPr>
      <w:rFonts w:eastAsia="Malgun Gothic"/>
      <w:sz w:val="18"/>
    </w:rPr>
  </w:style>
  <w:style w:type="paragraph" w:customStyle="1" w:styleId="67">
    <w:name w:val="TAC"/>
    <w:basedOn w:val="66"/>
    <w:link w:val="102"/>
    <w:qFormat/>
    <w:uiPriority w:val="0"/>
    <w:pPr>
      <w:jc w:val="center"/>
    </w:pPr>
    <w:rPr>
      <w:rFonts w:eastAsia="Times New Roman"/>
      <w:lang w:eastAsia="en-US"/>
    </w:rPr>
  </w:style>
  <w:style w:type="paragraph" w:customStyle="1" w:styleId="68">
    <w:name w:val="TAH"/>
    <w:basedOn w:val="67"/>
    <w:link w:val="95"/>
    <w:qFormat/>
    <w:uiPriority w:val="0"/>
    <w:rPr>
      <w:rFonts w:eastAsia="Malgun Gothic"/>
      <w:b/>
    </w:rPr>
  </w:style>
  <w:style w:type="paragraph" w:customStyle="1" w:styleId="69">
    <w:name w:val="TAN"/>
    <w:basedOn w:val="66"/>
    <w:uiPriority w:val="0"/>
    <w:pPr>
      <w:ind w:left="851" w:hanging="851"/>
    </w:pPr>
  </w:style>
  <w:style w:type="paragraph" w:customStyle="1" w:styleId="70">
    <w:name w:val="TAR"/>
    <w:basedOn w:val="66"/>
    <w:qFormat/>
    <w:uiPriority w:val="0"/>
    <w:pPr>
      <w:jc w:val="right"/>
    </w:pPr>
  </w:style>
  <w:style w:type="paragraph" w:customStyle="1" w:styleId="71">
    <w:name w:val="TH"/>
    <w:basedOn w:val="1"/>
    <w:link w:val="99"/>
    <w:qFormat/>
    <w:uiPriority w:val="0"/>
    <w:pPr>
      <w:keepNext/>
      <w:keepLines/>
      <w:spacing w:before="60" w:after="180"/>
      <w:jc w:val="center"/>
    </w:pPr>
    <w:rPr>
      <w:b/>
      <w:lang w:eastAsia="en-US"/>
    </w:rPr>
  </w:style>
  <w:style w:type="paragraph" w:customStyle="1" w:styleId="72">
    <w:name w:val="TF"/>
    <w:basedOn w:val="71"/>
    <w:link w:val="101"/>
    <w:qFormat/>
    <w:uiPriority w:val="0"/>
    <w:pPr>
      <w:spacing w:before="0" w:after="240"/>
    </w:pPr>
  </w:style>
  <w:style w:type="paragraph" w:customStyle="1" w:styleId="73">
    <w:name w:val="TT"/>
    <w:basedOn w:val="2"/>
    <w:next w:val="1"/>
    <w:qFormat/>
    <w:uiPriority w:val="0"/>
    <w:pPr>
      <w:numPr>
        <w:numId w:val="0"/>
      </w:numPr>
      <w:ind w:left="1134" w:hanging="1134"/>
      <w:outlineLvl w:val="9"/>
    </w:pPr>
    <w:rPr>
      <w:szCs w:val="20"/>
      <w:lang w:eastAsia="en-US"/>
    </w:rPr>
  </w:style>
  <w:style w:type="paragraph" w:customStyle="1" w:styleId="74">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5">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6">
    <w:name w:val="ZD"/>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7">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78">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79">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0">
    <w:name w:val="ZTD"/>
    <w:basedOn w:val="75"/>
    <w:qFormat/>
    <w:uiPriority w:val="0"/>
    <w:pPr>
      <w:framePr w:h="284" w:wrap="notBeside" w:vAnchor="margin" w:hAnchor="text" w:y="852"/>
    </w:pPr>
    <w:rPr>
      <w:i w:val="0"/>
      <w:sz w:val="40"/>
    </w:rPr>
  </w:style>
  <w:style w:type="paragraph" w:customStyle="1" w:styleId="81">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2">
    <w:name w:val="ZV"/>
    <w:basedOn w:val="81"/>
    <w:qFormat/>
    <w:uiPriority w:val="0"/>
    <w:pPr>
      <w:framePr w:wrap="notBeside" w:vAnchor="margin" w:hAnchor="text" w:y="16161"/>
    </w:pPr>
  </w:style>
  <w:style w:type="paragraph" w:customStyle="1" w:styleId="83">
    <w:name w:val="FP"/>
    <w:basedOn w:val="1"/>
    <w:uiPriority w:val="0"/>
    <w:pPr>
      <w:spacing w:after="0"/>
      <w:jc w:val="left"/>
    </w:pPr>
    <w:rPr>
      <w:lang w:eastAsia="en-US"/>
    </w:rPr>
  </w:style>
  <w:style w:type="paragraph" w:customStyle="1" w:styleId="84">
    <w:name w:val="Observation"/>
    <w:basedOn w:val="62"/>
    <w:qFormat/>
    <w:uiPriority w:val="0"/>
    <w:pPr>
      <w:numPr>
        <w:ilvl w:val="0"/>
        <w:numId w:val="9"/>
      </w:numPr>
    </w:pPr>
  </w:style>
  <w:style w:type="paragraph" w:customStyle="1" w:styleId="85">
    <w:name w:val="Doc-text2"/>
    <w:basedOn w:val="1"/>
    <w:link w:val="92"/>
    <w:qFormat/>
    <w:uiPriority w:val="0"/>
    <w:pPr>
      <w:tabs>
        <w:tab w:val="left" w:pos="1622"/>
      </w:tabs>
      <w:adjustRightInd/>
      <w:spacing w:after="0"/>
      <w:ind w:left="1622" w:hanging="363"/>
      <w:jc w:val="left"/>
      <w:textAlignment w:val="auto"/>
    </w:pPr>
    <w:rPr>
      <w:rFonts w:eastAsia="MS Mincho"/>
      <w:szCs w:val="24"/>
    </w:rPr>
  </w:style>
  <w:style w:type="paragraph" w:customStyle="1" w:styleId="86">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7">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8">
    <w:name w:val="列出段落2"/>
    <w:basedOn w:val="1"/>
    <w:link w:val="103"/>
    <w:qFormat/>
    <w:uiPriority w:val="34"/>
    <w:pPr>
      <w:adjustRightInd/>
      <w:spacing w:after="180"/>
      <w:ind w:left="720"/>
      <w:contextualSpacing/>
      <w:textAlignment w:val="auto"/>
    </w:pPr>
    <w:rPr>
      <w:rFonts w:eastAsia="Arial Unicode MS"/>
      <w:lang w:eastAsia="en-US"/>
    </w:rPr>
  </w:style>
  <w:style w:type="character" w:customStyle="1" w:styleId="89">
    <w:name w:val="标题 1 Char"/>
    <w:link w:val="2"/>
    <w:qFormat/>
    <w:uiPriority w:val="0"/>
    <w:rPr>
      <w:rFonts w:ascii="Arial" w:hAnsi="Arial"/>
      <w:sz w:val="36"/>
      <w:szCs w:val="36"/>
      <w:lang w:eastAsia="zh-CN" w:bidi="ar-SA"/>
    </w:rPr>
  </w:style>
  <w:style w:type="character" w:customStyle="1" w:styleId="90">
    <w:name w:val="正文文本 Char"/>
    <w:link w:val="27"/>
    <w:uiPriority w:val="0"/>
    <w:rPr>
      <w:rFonts w:ascii="Arial" w:hAnsi="Arial"/>
      <w:lang w:eastAsia="zh-CN"/>
    </w:rPr>
  </w:style>
  <w:style w:type="character" w:customStyle="1" w:styleId="91">
    <w:name w:val="ZGSM"/>
    <w:qFormat/>
    <w:uiPriority w:val="0"/>
  </w:style>
  <w:style w:type="character" w:customStyle="1" w:styleId="92">
    <w:name w:val="Doc-text2 Char"/>
    <w:link w:val="85"/>
    <w:qFormat/>
    <w:uiPriority w:val="0"/>
    <w:rPr>
      <w:rFonts w:ascii="Arial" w:hAnsi="Arial" w:eastAsia="MS Mincho"/>
      <w:szCs w:val="24"/>
    </w:rPr>
  </w:style>
  <w:style w:type="character" w:customStyle="1" w:styleId="93">
    <w:name w:val="PL Char"/>
    <w:link w:val="86"/>
    <w:qFormat/>
    <w:locked/>
    <w:uiPriority w:val="0"/>
    <w:rPr>
      <w:rFonts w:ascii="Courier New" w:hAnsi="Courier New"/>
      <w:sz w:val="16"/>
      <w:lang w:bidi="ar-SA"/>
    </w:rPr>
  </w:style>
  <w:style w:type="character" w:customStyle="1" w:styleId="94">
    <w:name w:val="TAL Car"/>
    <w:link w:val="66"/>
    <w:qFormat/>
    <w:locked/>
    <w:uiPriority w:val="0"/>
    <w:rPr>
      <w:rFonts w:ascii="Arial" w:hAnsi="Arial"/>
      <w:sz w:val="18"/>
    </w:rPr>
  </w:style>
  <w:style w:type="character" w:customStyle="1" w:styleId="95">
    <w:name w:val="TAH Car"/>
    <w:link w:val="68"/>
    <w:qFormat/>
    <w:locked/>
    <w:uiPriority w:val="0"/>
    <w:rPr>
      <w:rFonts w:ascii="Arial" w:hAnsi="Arial"/>
      <w:b/>
      <w:sz w:val="18"/>
    </w:rPr>
  </w:style>
  <w:style w:type="character" w:customStyle="1" w:styleId="96">
    <w:name w:val="未处理的提及1"/>
    <w:unhideWhenUsed/>
    <w:qFormat/>
    <w:uiPriority w:val="99"/>
    <w:rPr>
      <w:color w:val="808080"/>
      <w:shd w:val="clear" w:color="auto" w:fill="E6E6E6"/>
    </w:rPr>
  </w:style>
  <w:style w:type="character" w:customStyle="1" w:styleId="97">
    <w:name w:val="占位符文本1"/>
    <w:semiHidden/>
    <w:qFormat/>
    <w:uiPriority w:val="99"/>
    <w:rPr>
      <w:color w:val="808080"/>
    </w:rPr>
  </w:style>
  <w:style w:type="character" w:customStyle="1" w:styleId="98">
    <w:name w:val="页眉 Char"/>
    <w:link w:val="35"/>
    <w:qFormat/>
    <w:uiPriority w:val="0"/>
    <w:rPr>
      <w:rFonts w:ascii="Arial" w:hAnsi="Arial" w:eastAsia="MS Mincho" w:cs="Arial"/>
      <w:b/>
      <w:sz w:val="24"/>
      <w:szCs w:val="24"/>
    </w:rPr>
  </w:style>
  <w:style w:type="character" w:customStyle="1" w:styleId="99">
    <w:name w:val="TH Char"/>
    <w:link w:val="71"/>
    <w:qFormat/>
    <w:uiPriority w:val="0"/>
    <w:rPr>
      <w:rFonts w:ascii="Arial" w:hAnsi="Arial" w:eastAsia="Times New Roman"/>
      <w:b/>
      <w:lang w:eastAsia="en-US"/>
    </w:rPr>
  </w:style>
  <w:style w:type="character" w:customStyle="1" w:styleId="100">
    <w:name w:val="B1 Char1"/>
    <w:link w:val="58"/>
    <w:qFormat/>
    <w:uiPriority w:val="0"/>
    <w:rPr>
      <w:rFonts w:ascii="Arial" w:hAnsi="Arial" w:eastAsia="Times New Roman"/>
      <w:lang w:eastAsia="en-US"/>
    </w:rPr>
  </w:style>
  <w:style w:type="character" w:customStyle="1" w:styleId="101">
    <w:name w:val="TF Char"/>
    <w:link w:val="72"/>
    <w:qFormat/>
    <w:uiPriority w:val="0"/>
    <w:rPr>
      <w:rFonts w:ascii="Arial" w:hAnsi="Arial" w:eastAsia="Times New Roman"/>
      <w:b/>
      <w:lang w:eastAsia="en-US"/>
    </w:rPr>
  </w:style>
  <w:style w:type="character" w:customStyle="1" w:styleId="102">
    <w:name w:val="TAC Char"/>
    <w:link w:val="67"/>
    <w:qFormat/>
    <w:uiPriority w:val="0"/>
    <w:rPr>
      <w:rFonts w:ascii="Arial" w:hAnsi="Arial" w:eastAsia="Times New Roman"/>
      <w:sz w:val="18"/>
      <w:lang w:eastAsia="en-US"/>
    </w:rPr>
  </w:style>
  <w:style w:type="character" w:customStyle="1" w:styleId="103">
    <w:name w:val="列出段落 Char"/>
    <w:link w:val="88"/>
    <w:qFormat/>
    <w:locked/>
    <w:uiPriority w:val="34"/>
    <w:rPr>
      <w:rFonts w:ascii="Arial" w:hAnsi="Arial" w:eastAsia="Arial Unicode MS"/>
      <w:lang w:eastAsia="en-US"/>
    </w:rPr>
  </w:style>
  <w:style w:type="paragraph" w:customStyle="1" w:styleId="104">
    <w:name w:val="CR Cover Page"/>
    <w:link w:val="105"/>
    <w:qFormat/>
    <w:uiPriority w:val="0"/>
    <w:pPr>
      <w:spacing w:after="120"/>
    </w:pPr>
    <w:rPr>
      <w:rFonts w:ascii="Arial" w:hAnsi="Arial" w:eastAsia="MS Mincho" w:cs="Times New Roman"/>
      <w:lang w:val="en-GB" w:eastAsia="en-US" w:bidi="ar-SA"/>
    </w:rPr>
  </w:style>
  <w:style w:type="character" w:customStyle="1" w:styleId="105">
    <w:name w:val="CR Cover Page Zchn"/>
    <w:link w:val="104"/>
    <w:qFormat/>
    <w:uiPriority w:val="0"/>
    <w:rPr>
      <w:rFonts w:ascii="Arial" w:hAnsi="Arial" w:eastAsia="MS Mincho"/>
      <w:lang w:val="en-GB" w:eastAsia="en-US" w:bidi="ar-SA"/>
    </w:rPr>
  </w:style>
  <w:style w:type="paragraph" w:customStyle="1" w:styleId="106">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7">
    <w:name w:val="목록 단"/>
    <w:basedOn w:val="1"/>
    <w:next w:val="108"/>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8">
    <w:name w:val="List Paragraph"/>
    <w:basedOn w:val="1"/>
    <w:qFormat/>
    <w:uiPriority w:val="34"/>
    <w:pPr>
      <w:ind w:firstLine="420" w:firstLineChars="200"/>
    </w:pPr>
  </w:style>
  <w:style w:type="paragraph" w:customStyle="1" w:styleId="109">
    <w:name w:val="Doc-comment"/>
    <w:basedOn w:val="1"/>
    <w:next w:val="85"/>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0">
    <w:name w:val="Comments"/>
    <w:basedOn w:val="1"/>
    <w:link w:val="111"/>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1">
    <w:name w:val="Comments Char"/>
    <w:link w:val="110"/>
    <w:qFormat/>
    <w:uiPriority w:val="0"/>
    <w:rPr>
      <w:rFonts w:ascii="Arial" w:hAnsi="Arial" w:eastAsia="MS Mincho"/>
      <w:i/>
      <w:sz w:val="18"/>
      <w:szCs w:val="24"/>
      <w:lang w:val="en-GB" w:eastAsia="en-GB"/>
    </w:rPr>
  </w:style>
  <w:style w:type="character" w:customStyle="1" w:styleId="112">
    <w:name w:val="jlqj4b"/>
    <w:basedOn w:val="47"/>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B3F0F0-4982-446F-857F-BAF7219F0A55}">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Company>Ericsson</Company>
  <Pages>4</Pages>
  <Words>1062</Words>
  <Characters>6054</Characters>
  <Lines>50</Lines>
  <Paragraphs>14</Paragraphs>
  <TotalTime>9</TotalTime>
  <ScaleCrop>false</ScaleCrop>
  <LinksUpToDate>false</LinksUpToDate>
  <CharactersWithSpaces>7102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2021-10-22T01:58:00Z</dcterms:created>
  <dc:creator>Ericsson</dc:creator>
  <cp:keywords>Ericsson; TDoc; 3GPP</cp:keywords>
  <cp:lastModifiedBy>cmcc</cp:lastModifiedBy>
  <cp:lastPrinted>2008-01-31T16:09:00Z</cp:lastPrinted>
  <dcterms:modified xsi:type="dcterms:W3CDTF">2022-02-14T07:15:11Z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9E900314A86E46A6B64C60E28C39C39B</vt:lpwstr>
  </property>
</Properties>
</file>